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60" w:lineRule="exact"/>
        <w:jc w:val="center"/>
        <w:rPr>
          <w:rFonts w:hint="eastAsia" w:ascii="方正小标宋简体" w:hAnsi="方正小标宋简体" w:eastAsia="方正小标宋简体" w:cs="方正小标宋简体"/>
          <w:b/>
          <w:bCs/>
          <w:color w:val="auto"/>
          <w:sz w:val="44"/>
          <w:szCs w:val="44"/>
        </w:rPr>
      </w:pPr>
      <w:bookmarkStart w:id="6" w:name="_GoBack"/>
      <w:bookmarkEnd w:id="6"/>
      <w:r>
        <w:rPr>
          <w:rFonts w:hint="eastAsia" w:ascii="方正小标宋简体" w:hAnsi="方正小标宋简体" w:eastAsia="方正小标宋简体" w:cs="方正小标宋简体"/>
          <w:b/>
          <w:bCs/>
          <w:color w:val="auto"/>
          <w:sz w:val="44"/>
          <w:szCs w:val="44"/>
        </w:rPr>
        <w:t>台湖镇2021年治理类乡镇项目</w:t>
      </w:r>
    </w:p>
    <w:p>
      <w:pPr>
        <w:pageBreakBefore w:val="0"/>
        <w:kinsoku/>
        <w:wordWrap/>
        <w:topLinePunct w:val="0"/>
        <w:autoSpaceDE/>
        <w:autoSpaceDN/>
        <w:bidi w:val="0"/>
        <w:spacing w:line="560" w:lineRule="exact"/>
        <w:jc w:val="center"/>
        <w:rPr>
          <w:rFonts w:hint="eastAsia"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b/>
          <w:bCs/>
          <w:color w:val="auto"/>
          <w:sz w:val="44"/>
          <w:szCs w:val="44"/>
        </w:rPr>
        <w:t>支出绩效评价报告</w:t>
      </w:r>
    </w:p>
    <w:p>
      <w:pPr>
        <w:pageBreakBefore w:val="0"/>
        <w:kinsoku/>
        <w:wordWrap/>
        <w:topLinePunct w:val="0"/>
        <w:autoSpaceDE/>
        <w:autoSpaceDN/>
        <w:bidi w:val="0"/>
        <w:spacing w:line="560" w:lineRule="exact"/>
        <w:ind w:firstLine="643" w:firstLineChars="200"/>
        <w:jc w:val="both"/>
        <w:rPr>
          <w:rFonts w:hint="eastAsia" w:ascii="黑体" w:hAnsi="黑体" w:eastAsia="黑体" w:cs="黑体"/>
          <w:b w:val="0"/>
          <w:bCs/>
          <w:color w:val="auto"/>
          <w:kern w:val="0"/>
          <w:sz w:val="32"/>
          <w:szCs w:val="32"/>
        </w:rPr>
      </w:pPr>
      <w:r>
        <w:rPr>
          <w:rFonts w:hint="eastAsia" w:ascii="黑体" w:hAnsi="黑体" w:eastAsia="黑体" w:cs="黑体"/>
          <w:b/>
          <w:color w:val="auto"/>
          <w:kern w:val="0"/>
          <w:sz w:val="32"/>
          <w:szCs w:val="32"/>
        </w:rPr>
        <w:t>一、</w:t>
      </w:r>
      <w:r>
        <w:rPr>
          <w:rFonts w:hint="eastAsia" w:ascii="黑体" w:hAnsi="黑体" w:eastAsia="黑体" w:cs="黑体"/>
          <w:b w:val="0"/>
          <w:bCs/>
          <w:color w:val="auto"/>
          <w:kern w:val="0"/>
          <w:sz w:val="32"/>
          <w:szCs w:val="32"/>
          <w:lang w:val="en-US" w:eastAsia="zh-CN"/>
        </w:rPr>
        <w:t>项目</w:t>
      </w:r>
      <w:r>
        <w:rPr>
          <w:rFonts w:hint="eastAsia" w:ascii="黑体" w:hAnsi="黑体" w:eastAsia="黑体" w:cs="黑体"/>
          <w:b w:val="0"/>
          <w:bCs/>
          <w:color w:val="auto"/>
          <w:kern w:val="0"/>
          <w:sz w:val="32"/>
          <w:szCs w:val="32"/>
        </w:rPr>
        <w:t>基本情况</w:t>
      </w:r>
    </w:p>
    <w:p>
      <w:pPr>
        <w:pageBreakBefore w:val="0"/>
        <w:kinsoku/>
        <w:wordWrap/>
        <w:topLinePunct w:val="0"/>
        <w:autoSpaceDE/>
        <w:autoSpaceDN/>
        <w:bidi w:val="0"/>
        <w:spacing w:line="560" w:lineRule="exact"/>
        <w:ind w:firstLine="643" w:firstLineChars="200"/>
        <w:jc w:val="both"/>
        <w:rPr>
          <w:rFonts w:hint="eastAsia" w:ascii="楷体" w:hAnsi="楷体" w:eastAsia="楷体" w:cs="楷体"/>
          <w:b/>
          <w:bCs w:val="0"/>
          <w:color w:val="auto"/>
          <w:kern w:val="0"/>
          <w:sz w:val="32"/>
          <w:szCs w:val="32"/>
        </w:rPr>
      </w:pP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lang w:val="en-US" w:eastAsia="zh-CN"/>
        </w:rPr>
        <w:t>一</w:t>
      </w: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rPr>
        <w:t>项目立项背景</w:t>
      </w:r>
    </w:p>
    <w:p>
      <w:pPr>
        <w:pStyle w:val="5"/>
        <w:pageBreakBefore w:val="0"/>
        <w:kinsoku/>
        <w:wordWrap/>
        <w:topLinePunct w:val="0"/>
        <w:autoSpaceDE/>
        <w:autoSpaceDN/>
        <w:bidi w:val="0"/>
        <w:spacing w:line="56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党的十九届五中全会、市委十二届十六次全体会议和《关于加强治理类街乡镇整治提升工作市级补助资金保障的意见》（京财预〔2020〕1398号）精神,从群众需求和城市治理的突出问题出发，将主动治理与“接诉即办”“未诉先办”结合，为加快解决台湖镇12345接诉即办群众反映突出问题，积极回应群众关切。围绕“19+11”个治理类街乡镇，以“降量提率、排名提升”为目标，紧扣“七有”要求“五性”需求，坚持“两及时一聚焦”“市、区、街乡镇、社区（村）四级联动”的工作方法，进一步深化整治基础上，逐步完善提升生态环境、基础设施、公共服务设施建设水平，按照区专项办工作要求，在全镇范围内开展“治理类街乡镇整治提升工作市级补助资金”支持计划。</w:t>
      </w:r>
    </w:p>
    <w:p>
      <w:pPr>
        <w:pStyle w:val="5"/>
        <w:pageBreakBefore w:val="0"/>
        <w:kinsoku/>
        <w:wordWrap/>
        <w:topLinePunct w:val="0"/>
        <w:autoSpaceDE/>
        <w:autoSpaceDN/>
        <w:bidi w:val="0"/>
        <w:spacing w:line="56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以“小提升解大难题，以小资金带大成效，以小治理见大格局的方法逐步提升治理类乡镇整体服务能力和水平”，依据北京市通州区“疏解整治促提升”专项行动工作办公室关于《通州区关于引导治理类乡镇使用市级专项补助资金开展整治提升工作的意见（征求意见稿）》的通知申请2021年治理类乡镇市级补助项目。</w:t>
      </w:r>
    </w:p>
    <w:p>
      <w:pPr>
        <w:pageBreakBefore w:val="0"/>
        <w:kinsoku/>
        <w:wordWrap/>
        <w:topLinePunct w:val="0"/>
        <w:autoSpaceDE/>
        <w:autoSpaceDN/>
        <w:bidi w:val="0"/>
        <w:spacing w:line="560" w:lineRule="exact"/>
        <w:ind w:firstLine="643" w:firstLineChars="200"/>
        <w:jc w:val="both"/>
        <w:rPr>
          <w:rFonts w:hint="eastAsia" w:ascii="楷体" w:hAnsi="楷体" w:eastAsia="楷体" w:cs="楷体"/>
          <w:b/>
          <w:bCs w:val="0"/>
          <w:color w:val="auto"/>
          <w:kern w:val="0"/>
          <w:sz w:val="32"/>
          <w:szCs w:val="32"/>
          <w:lang w:eastAsia="zh-CN"/>
        </w:rPr>
      </w:pP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lang w:val="en-US" w:eastAsia="zh-CN"/>
        </w:rPr>
        <w:t>二</w:t>
      </w:r>
      <w:r>
        <w:rPr>
          <w:rFonts w:hint="eastAsia" w:ascii="楷体" w:hAnsi="楷体" w:eastAsia="楷体" w:cs="楷体"/>
          <w:b/>
          <w:bCs w:val="0"/>
          <w:color w:val="auto"/>
          <w:kern w:val="0"/>
          <w:sz w:val="32"/>
          <w:szCs w:val="32"/>
          <w:lang w:eastAsia="zh-CN"/>
        </w:rPr>
        <w:t>）项目内容</w:t>
      </w:r>
    </w:p>
    <w:p>
      <w:pPr>
        <w:pStyle w:val="5"/>
        <w:pageBreakBefore w:val="0"/>
        <w:kinsoku/>
        <w:wordWrap/>
        <w:topLinePunct w:val="0"/>
        <w:autoSpaceDE/>
        <w:autoSpaceDN/>
        <w:bidi w:val="0"/>
        <w:spacing w:line="56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今年</w:t>
      </w:r>
      <w:r>
        <w:rPr>
          <w:rFonts w:hint="eastAsia" w:ascii="仿宋_GB2312" w:hAnsi="仿宋_GB2312" w:eastAsia="仿宋_GB2312" w:cs="仿宋_GB2312"/>
          <w:sz w:val="32"/>
          <w:szCs w:val="32"/>
        </w:rPr>
        <w:t>2021年治理类乡镇</w:t>
      </w:r>
      <w:r>
        <w:rPr>
          <w:rFonts w:hint="eastAsia" w:ascii="仿宋_GB2312" w:hAnsi="仿宋_GB2312" w:eastAsia="仿宋_GB2312" w:cs="仿宋_GB2312"/>
          <w:sz w:val="32"/>
          <w:szCs w:val="32"/>
          <w:lang w:val="en-US" w:eastAsia="zh-CN"/>
        </w:rPr>
        <w:t>项目评价考核涉及</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共涉及3个村、1个小区，其中公共服务设施类项目4个，老旧小区改造提升类项目1个，农村基础设施提升类项目3个，项目资金68.17万元。</w:t>
      </w:r>
      <w:r>
        <w:rPr>
          <w:rFonts w:hint="eastAsia" w:ascii="仿宋_GB2312" w:hAnsi="仿宋_GB2312" w:eastAsia="仿宋_GB2312" w:cs="仿宋_GB2312"/>
          <w:sz w:val="32"/>
          <w:szCs w:val="32"/>
        </w:rPr>
        <w:t>具体项目内容为：</w:t>
      </w:r>
    </w:p>
    <w:p>
      <w:pPr>
        <w:pStyle w:val="5"/>
        <w:pageBreakBefore w:val="0"/>
        <w:kinsoku/>
        <w:wordWrap/>
        <w:topLinePunct w:val="0"/>
        <w:autoSpaceDE/>
        <w:autoSpaceDN/>
        <w:bidi w:val="0"/>
        <w:spacing w:line="560" w:lineRule="exact"/>
        <w:ind w:left="0" w:leftChars="0" w:firstLine="643"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台湖镇铺大路（张台路-蒋辛庄村北口）道路增设慢行系统工程</w:t>
      </w:r>
    </w:p>
    <w:p>
      <w:pPr>
        <w:pStyle w:val="5"/>
        <w:pageBreakBefore w:val="0"/>
        <w:kinsoku/>
        <w:wordWrap/>
        <w:topLinePunct w:val="0"/>
        <w:autoSpaceDE/>
        <w:autoSpaceDN/>
        <w:bidi w:val="0"/>
        <w:spacing w:line="560" w:lineRule="exact"/>
        <w:ind w:left="0" w:leftChars="0" w:firstLine="640" w:firstLineChars="200"/>
        <w:jc w:val="both"/>
        <w:rPr>
          <w:rFonts w:hint="eastAsia" w:ascii="宋体" w:hAnsi="宋体" w:cs="宋体"/>
          <w:color w:val="auto"/>
          <w:kern w:val="0"/>
          <w:sz w:val="22"/>
        </w:rPr>
      </w:pPr>
      <w:r>
        <w:rPr>
          <w:rFonts w:hint="eastAsia" w:ascii="仿宋_GB2312" w:hAnsi="仿宋_GB2312" w:eastAsia="仿宋_GB2312" w:cs="仿宋_GB2312"/>
          <w:sz w:val="32"/>
          <w:szCs w:val="32"/>
        </w:rPr>
        <w:t>道路全长1444.132米，是台湖镇一条重要的南北向道路。依据群众诉求意愿，利用市级补助资金支持，针对群众反映突出的道路问题进行修复，维持铺大路现况双向两车道形式不变。（一）道路工程：南起蒋辛庄村北口，北至张台路，道路全长1443.265米，全线向西侧拓宽，增设隔离带约1.7～2.6米，非机动车道2米。（二）交通工程：沿路设置交通标志标线。（三）照明工程：更换道路西侧路灯，包含10米高双挑灯杆33套。（四）涵洞工程：新建41.5m单孔箱涵一座。</w:t>
      </w:r>
    </w:p>
    <w:p>
      <w:pPr>
        <w:pStyle w:val="5"/>
        <w:pageBreakBefore w:val="0"/>
        <w:kinsoku/>
        <w:wordWrap/>
        <w:topLinePunct w:val="0"/>
        <w:autoSpaceDE/>
        <w:autoSpaceDN/>
        <w:bidi w:val="0"/>
        <w:spacing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）台湖镇老旧步道修缮、绿化工程</w:t>
      </w:r>
    </w:p>
    <w:p>
      <w:pPr>
        <w:pStyle w:val="5"/>
        <w:pageBreakBefore w:val="0"/>
        <w:kinsoku/>
        <w:wordWrap/>
        <w:topLinePunct w:val="0"/>
        <w:autoSpaceDE/>
        <w:autoSpaceDN/>
        <w:bidi w:val="0"/>
        <w:spacing w:line="560" w:lineRule="exact"/>
        <w:ind w:left="0" w:leftChars="0" w:firstLine="640" w:firstLineChars="200"/>
        <w:jc w:val="both"/>
        <w:rPr>
          <w:rFonts w:hint="eastAsia" w:ascii="宋体" w:hAnsi="宋体" w:cs="宋体"/>
          <w:color w:val="auto"/>
          <w:kern w:val="0"/>
          <w:sz w:val="22"/>
        </w:rPr>
      </w:pPr>
      <w:r>
        <w:rPr>
          <w:rFonts w:hint="eastAsia" w:ascii="仿宋_GB2312" w:hAnsi="仿宋_GB2312" w:eastAsia="仿宋_GB2312" w:cs="仿宋_GB2312"/>
          <w:sz w:val="32"/>
          <w:szCs w:val="32"/>
          <w:lang w:eastAsia="zh-CN"/>
        </w:rPr>
        <w:t>依据群众诉求意愿，利用市级补助资金支持，针对群众反映突出的老旧步道进行修缮翻新工程，根据前期摸底修复区域包括农贸市场路、台湖政府大街、京亦街、湖亦路、周坡路、铺外三路、铺外二路、京通街、京湖街、台湖西路路段，修缮翻新面积约32000平米，针对树木根系生长易造成重复破坏隐患问题，将原有树池进行扩大，并采取下切方式剪除扩张根系，解决因根系生长带来的破坏隐患，实现乡村道路环境提升改造，改善群众出行条件。</w:t>
      </w:r>
    </w:p>
    <w:p>
      <w:pPr>
        <w:pageBreakBefore w:val="0"/>
        <w:kinsoku/>
        <w:wordWrap/>
        <w:topLinePunct w:val="0"/>
        <w:autoSpaceDE/>
        <w:autoSpaceDN/>
        <w:bidi w:val="0"/>
        <w:spacing w:line="560" w:lineRule="exact"/>
        <w:ind w:firstLine="643" w:firstLineChars="200"/>
        <w:jc w:val="both"/>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（3）董北路微改工程</w:t>
      </w:r>
    </w:p>
    <w:p>
      <w:pPr>
        <w:pageBreakBefore w:val="0"/>
        <w:kinsoku/>
        <w:wordWrap/>
        <w:topLinePunct w:val="0"/>
        <w:autoSpaceDE/>
        <w:autoSpaceDN/>
        <w:bidi w:val="0"/>
        <w:spacing w:line="560" w:lineRule="exact"/>
        <w:ind w:firstLine="640" w:firstLineChars="200"/>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前期摸底统计，董村周边董北路是董村村民及周边拾景园、恒泰家园、润枫领尚小区居民长走道路，道路条件差、没有非机动车道，对过往车辆及行人造成安全隐患，依据群众诉求意愿，利用市级补助资金支持，对现有道路进行微改，修缮部分路面，增加非机动车道及相关安全防护设施及标识等。</w:t>
      </w:r>
    </w:p>
    <w:p>
      <w:pPr>
        <w:pStyle w:val="5"/>
        <w:pageBreakBefore w:val="0"/>
        <w:kinsoku/>
        <w:wordWrap/>
        <w:topLinePunct w:val="0"/>
        <w:autoSpaceDE/>
        <w:autoSpaceDN/>
        <w:bidi w:val="0"/>
        <w:spacing w:line="560" w:lineRule="exact"/>
        <w:ind w:left="0" w:leftChars="0" w:firstLine="643"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台湖镇道路井盖改造工程</w:t>
      </w:r>
    </w:p>
    <w:p>
      <w:pPr>
        <w:pageBreakBefore w:val="0"/>
        <w:kinsoku/>
        <w:wordWrap/>
        <w:topLinePunct w:val="0"/>
        <w:autoSpaceDE/>
        <w:autoSpaceDN/>
        <w:bidi w:val="0"/>
        <w:spacing w:line="560" w:lineRule="exact"/>
        <w:ind w:firstLine="640" w:firstLineChars="200"/>
        <w:jc w:val="both"/>
        <w:outlineLvl w:val="0"/>
        <w:rPr>
          <w:rFonts w:hint="eastAsia" w:ascii="宋体" w:hAnsi="宋体" w:cs="宋体"/>
          <w:color w:val="auto"/>
          <w:kern w:val="0"/>
          <w:sz w:val="22"/>
        </w:rPr>
      </w:pPr>
      <w:r>
        <w:rPr>
          <w:rFonts w:hint="eastAsia" w:ascii="仿宋_GB2312" w:hAnsi="仿宋_GB2312" w:eastAsia="仿宋_GB2312" w:cs="仿宋_GB2312"/>
          <w:sz w:val="32"/>
          <w:szCs w:val="32"/>
        </w:rPr>
        <w:t>道路出行问题是2020年市民诉求反映突出，利用两年的时间对此问题进行系统、长效治理。依据群众诉求意愿，利用市级补助资金支持，针对群众反映突出的路面井盖塌陷进行修复，修复区域为农贸市场路、台湖政府大街、京亦街、湖亦路、周坡路、铺外三路、铺外二路、京通街、京湖街、台湖西路主道路，彻底改善百姓出行条件，让群众真正获得幸福感、满足感。</w:t>
      </w:r>
    </w:p>
    <w:p>
      <w:pPr>
        <w:pStyle w:val="5"/>
        <w:pageBreakBefore w:val="0"/>
        <w:kinsoku/>
        <w:wordWrap/>
        <w:topLinePunct w:val="0"/>
        <w:autoSpaceDE/>
        <w:autoSpaceDN/>
        <w:bidi w:val="0"/>
        <w:spacing w:line="560" w:lineRule="exact"/>
        <w:ind w:left="0" w:lef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（5）东居时代小区楼顶防水等工程</w:t>
      </w:r>
    </w:p>
    <w:p>
      <w:pPr>
        <w:pStyle w:val="5"/>
        <w:pageBreakBefore w:val="0"/>
        <w:kinsoku/>
        <w:wordWrap/>
        <w:topLinePunct w:val="0"/>
        <w:autoSpaceDE/>
        <w:autoSpaceDN/>
        <w:bidi w:val="0"/>
        <w:spacing w:line="560" w:lineRule="exact"/>
        <w:ind w:left="0" w:leftChars="0" w:firstLine="640" w:firstLineChars="200"/>
        <w:jc w:val="both"/>
        <w:rPr>
          <w:rFonts w:hint="eastAsia" w:ascii="宋体" w:hAnsi="宋体" w:cs="宋体"/>
          <w:color w:val="auto"/>
          <w:kern w:val="0"/>
          <w:sz w:val="22"/>
        </w:rPr>
      </w:pPr>
      <w:r>
        <w:rPr>
          <w:rFonts w:hint="eastAsia" w:ascii="仿宋_GB2312" w:hAnsi="仿宋_GB2312" w:eastAsia="仿宋_GB2312" w:cs="仿宋_GB2312"/>
          <w:sz w:val="32"/>
          <w:szCs w:val="32"/>
          <w:lang w:val="en-US" w:eastAsia="zh-CN"/>
        </w:rPr>
        <w:t>依据群众诉求意愿，利用市级补助资金支持，在东居时代小区开展楼顶防水、新建自行车棚等工程。由于该小区为老旧小区，楼顶漏水问题已困扰居民多年，小区居民电动自行车无处充电。本次工程为该小区各居民楼（7栋楼，约5438平方米）重做防水，翻新1个、新建4个自行车棚彻底解决居民所反映的漏雨、电动自行车充电问题。</w:t>
      </w:r>
    </w:p>
    <w:p>
      <w:pPr>
        <w:pageBreakBefore w:val="0"/>
        <w:kinsoku/>
        <w:wordWrap/>
        <w:topLinePunct w:val="0"/>
        <w:autoSpaceDE/>
        <w:autoSpaceDN/>
        <w:bidi w:val="0"/>
        <w:spacing w:line="560" w:lineRule="exact"/>
        <w:ind w:firstLine="643" w:firstLineChars="200"/>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（6）东石村道路两侧安装护栏工程</w:t>
      </w:r>
    </w:p>
    <w:p>
      <w:pPr>
        <w:pageBreakBefore w:val="0"/>
        <w:kinsoku/>
        <w:wordWrap/>
        <w:topLinePunct w:val="0"/>
        <w:autoSpaceDE/>
        <w:autoSpaceDN/>
        <w:bidi w:val="0"/>
        <w:spacing w:line="560" w:lineRule="exact"/>
        <w:ind w:firstLine="640" w:firstLineChars="200"/>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依据群众诉求意愿，利用市级补助资金支持，在东石村开展东石村内道路两侧安装护栏工程。由于该村为拆迁村，施工时按规划开挖的湖区，由于目前还有滞留户23户及高低压线杆未迁改等因素，导致公园无法进行后续建设工作无法继续施工，导致百姓出行不安全，有很大的安全隐患。为彻底解决居民所反映的道路存在大坑存在安全隐患的问题，需对村内道路两侧安装护栏。村内道路两侧需安装护栏约730米。</w:t>
      </w:r>
    </w:p>
    <w:p>
      <w:pPr>
        <w:pageBreakBefore w:val="0"/>
        <w:kinsoku/>
        <w:wordWrap/>
        <w:topLinePunct w:val="0"/>
        <w:autoSpaceDE/>
        <w:autoSpaceDN/>
        <w:bidi w:val="0"/>
        <w:spacing w:line="560" w:lineRule="exact"/>
        <w:ind w:firstLine="643" w:firstLineChars="200"/>
        <w:jc w:val="both"/>
        <w:outlineLvl w:val="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kern w:val="2"/>
          <w:sz w:val="32"/>
          <w:szCs w:val="32"/>
          <w:lang w:val="en-US" w:eastAsia="zh-CN" w:bidi="ar-SA"/>
        </w:rPr>
        <w:t>拆迁村路灯修复工程</w:t>
      </w:r>
    </w:p>
    <w:p>
      <w:pPr>
        <w:pageBreakBefore w:val="0"/>
        <w:kinsoku/>
        <w:wordWrap/>
        <w:topLinePunct w:val="0"/>
        <w:autoSpaceDE/>
        <w:autoSpaceDN/>
        <w:bidi w:val="0"/>
        <w:spacing w:line="560" w:lineRule="exact"/>
        <w:ind w:firstLine="640" w:firstLineChars="200"/>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依据群众诉求意愿，利用市级补助资金支持，在次二村开展村内路灯改造工程。由于该村为拆迁村，目前还有滞留户27户， 路灯已全部损坏，百姓夜里出行非常不便，且有很大的安全隐患。为彻底解决居民所反映的路黑灯灭问题，需对村内道路路灯进行改造。村路路灯修复共计1500米，LED灯60盏。</w:t>
      </w:r>
    </w:p>
    <w:p>
      <w:pPr>
        <w:pStyle w:val="5"/>
        <w:pageBreakBefore w:val="0"/>
        <w:kinsoku/>
        <w:wordWrap/>
        <w:topLinePunct w:val="0"/>
        <w:autoSpaceDE/>
        <w:autoSpaceDN/>
        <w:bidi w:val="0"/>
        <w:spacing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lang w:eastAsia="zh-CN"/>
        </w:rPr>
        <w:t>三支渠（前营段）、新四支渠（玉甫上营至凉水河入口段）河道清理及环境整治提升工程</w:t>
      </w:r>
    </w:p>
    <w:p>
      <w:pPr>
        <w:pStyle w:val="5"/>
        <w:pageBreakBefore w:val="0"/>
        <w:kinsoku/>
        <w:wordWrap/>
        <w:topLinePunct w:val="0"/>
        <w:autoSpaceDE/>
        <w:autoSpaceDN/>
        <w:bidi w:val="0"/>
        <w:spacing w:line="560" w:lineRule="exact"/>
        <w:ind w:left="0" w:leftChars="0" w:firstLine="640" w:firstLineChars="200"/>
        <w:jc w:val="both"/>
        <w:rPr>
          <w:rFonts w:hint="eastAsia" w:ascii="宋体" w:hAnsi="宋体" w:cs="宋体"/>
          <w:color w:val="auto"/>
          <w:kern w:val="0"/>
          <w:sz w:val="22"/>
        </w:rPr>
      </w:pPr>
      <w:r>
        <w:rPr>
          <w:rFonts w:hint="eastAsia" w:ascii="仿宋_GB2312" w:hAnsi="仿宋_GB2312" w:eastAsia="仿宋_GB2312" w:cs="仿宋_GB2312"/>
          <w:sz w:val="32"/>
          <w:szCs w:val="32"/>
          <w:lang w:val="en-US" w:eastAsia="zh-CN"/>
        </w:rPr>
        <w:t>三支渠和新四支渠均为临村、穿村渠道，多年来渠道环境问题始终是附近村民集中反映脏乱差的重点和难点。为此，针对群众反映突出的三支渠和新四支渠环境问题，对三支渠和新四支渠实施生态环境整治提升工程，总长度5.6公里。通过美丽乡村建设和两条渠道环境工程的同步实施，使党的民生工程政策效益最大化，让群众真正获得更多的幸福感、满足感。</w:t>
      </w:r>
    </w:p>
    <w:p>
      <w:pPr>
        <w:pageBreakBefore w:val="0"/>
        <w:kinsoku/>
        <w:wordWrap/>
        <w:topLinePunct w:val="0"/>
        <w:autoSpaceDE/>
        <w:autoSpaceDN/>
        <w:bidi w:val="0"/>
        <w:spacing w:line="560" w:lineRule="exact"/>
        <w:ind w:firstLine="643" w:firstLineChars="200"/>
        <w:jc w:val="both"/>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（9）台湖镇公交站亭工程</w:t>
      </w:r>
    </w:p>
    <w:p>
      <w:pPr>
        <w:pageBreakBefore w:val="0"/>
        <w:kinsoku/>
        <w:wordWrap/>
        <w:topLinePunct w:val="0"/>
        <w:autoSpaceDE/>
        <w:autoSpaceDN/>
        <w:bidi w:val="0"/>
        <w:spacing w:line="560" w:lineRule="exact"/>
        <w:ind w:firstLine="640" w:firstLineChars="200"/>
        <w:jc w:val="both"/>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依据群众诉求意愿，利用市级补助资金支持，对露天公交站进行提升，增加公交站亭112个，建设点位包括次渠地铁站、北火垡、台湖镇政府、周坡庄村委会等。</w:t>
      </w:r>
    </w:p>
    <w:p>
      <w:pPr>
        <w:pageBreakBefore w:val="0"/>
        <w:kinsoku/>
        <w:wordWrap/>
        <w:topLinePunct w:val="0"/>
        <w:autoSpaceDE/>
        <w:autoSpaceDN/>
        <w:bidi w:val="0"/>
        <w:spacing w:line="560" w:lineRule="exact"/>
        <w:ind w:firstLine="643" w:firstLineChars="200"/>
        <w:jc w:val="both"/>
        <w:rPr>
          <w:rFonts w:hint="eastAsia" w:ascii="楷体" w:hAnsi="楷体" w:eastAsia="楷体" w:cs="楷体"/>
          <w:b/>
          <w:bCs w:val="0"/>
          <w:color w:val="auto"/>
          <w:kern w:val="0"/>
          <w:sz w:val="32"/>
          <w:szCs w:val="32"/>
          <w:lang w:eastAsia="zh-CN"/>
        </w:rPr>
      </w:pP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lang w:val="en-US" w:eastAsia="zh-CN"/>
        </w:rPr>
        <w:t>三</w:t>
      </w:r>
      <w:r>
        <w:rPr>
          <w:rFonts w:hint="eastAsia" w:ascii="楷体" w:hAnsi="楷体" w:eastAsia="楷体" w:cs="楷体"/>
          <w:b/>
          <w:bCs w:val="0"/>
          <w:color w:val="auto"/>
          <w:kern w:val="0"/>
          <w:sz w:val="32"/>
          <w:szCs w:val="32"/>
          <w:lang w:eastAsia="zh-CN"/>
        </w:rPr>
        <w:t>）项目资金情况</w:t>
      </w:r>
    </w:p>
    <w:p>
      <w:pPr>
        <w:pStyle w:val="5"/>
        <w:pageBreakBefore w:val="0"/>
        <w:kinsoku/>
        <w:wordWrap/>
        <w:topLinePunct w:val="0"/>
        <w:autoSpaceDE/>
        <w:autoSpaceDN/>
        <w:bidi w:val="0"/>
        <w:spacing w:line="560" w:lineRule="exact"/>
        <w:ind w:left="0"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2021年治理类乡镇项目经预算</w:t>
      </w:r>
      <w:r>
        <w:rPr>
          <w:rFonts w:hint="eastAsia" w:ascii="仿宋_GB2312" w:hAnsi="仿宋_GB2312" w:eastAsia="仿宋_GB2312" w:cs="仿宋_GB2312"/>
          <w:sz w:val="32"/>
          <w:szCs w:val="32"/>
          <w:lang w:val="en-US" w:eastAsia="zh-CN"/>
        </w:rPr>
        <w:t>金额</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68.17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,项目已支取30.212708万元，支取率为44.32%，剩余37.957292万元资金为项目质保金，待质保期满支取并已结转回区财政局</w:t>
      </w:r>
      <w:r>
        <w:rPr>
          <w:rFonts w:hint="eastAsia" w:ascii="仿宋_GB2312" w:hAnsi="仿宋_GB2312" w:eastAsia="仿宋_GB2312" w:cs="仿宋_GB2312"/>
          <w:sz w:val="32"/>
          <w:szCs w:val="32"/>
        </w:rPr>
        <w:t>。</w:t>
      </w:r>
      <w:bookmarkStart w:id="0" w:name="_Toc144209266"/>
      <w:r>
        <w:rPr>
          <w:rFonts w:hint="eastAsia" w:ascii="仿宋_GB2312" w:hAnsi="仿宋_GB2312" w:eastAsia="仿宋_GB2312" w:cs="仿宋_GB2312"/>
          <w:sz w:val="32"/>
          <w:szCs w:val="32"/>
          <w:lang w:val="en-US" w:eastAsia="zh-CN"/>
        </w:rPr>
        <w:t xml:space="preserve">  </w:t>
      </w:r>
    </w:p>
    <w:p>
      <w:pPr>
        <w:pStyle w:val="5"/>
        <w:pageBreakBefore w:val="0"/>
        <w:kinsoku/>
        <w:wordWrap/>
        <w:topLinePunct w:val="0"/>
        <w:autoSpaceDE/>
        <w:autoSpaceDN/>
        <w:bidi w:val="0"/>
        <w:spacing w:line="560" w:lineRule="exact"/>
        <w:ind w:left="0" w:leftChars="0" w:firstLine="643" w:firstLineChars="200"/>
        <w:jc w:val="both"/>
        <w:rPr>
          <w:rFonts w:hint="eastAsia" w:ascii="黑体" w:hAnsi="黑体" w:eastAsia="黑体" w:cs="黑体"/>
          <w:b/>
          <w:bCs/>
          <w:sz w:val="32"/>
          <w:szCs w:val="32"/>
        </w:rPr>
      </w:pPr>
      <w:r>
        <w:rPr>
          <w:rFonts w:hint="eastAsia" w:ascii="黑体" w:hAnsi="黑体" w:eastAsia="黑体" w:cs="黑体"/>
          <w:b/>
          <w:bCs/>
          <w:sz w:val="32"/>
          <w:szCs w:val="32"/>
          <w:lang w:val="en-US" w:eastAsia="zh-CN"/>
        </w:rPr>
        <w:t>二、</w:t>
      </w:r>
      <w:r>
        <w:rPr>
          <w:rFonts w:hint="eastAsia" w:ascii="黑体" w:hAnsi="黑体" w:eastAsia="黑体" w:cs="黑体"/>
          <w:b/>
          <w:bCs/>
          <w:sz w:val="32"/>
          <w:szCs w:val="32"/>
        </w:rPr>
        <w:t>项目绩效目标</w:t>
      </w:r>
      <w:bookmarkEnd w:id="0"/>
    </w:p>
    <w:p>
      <w:pPr>
        <w:pageBreakBefore w:val="0"/>
        <w:kinsoku/>
        <w:wordWrap/>
        <w:topLinePunct w:val="0"/>
        <w:autoSpaceDE/>
        <w:autoSpaceDN/>
        <w:bidi w:val="0"/>
        <w:spacing w:line="560" w:lineRule="exact"/>
        <w:ind w:firstLine="643" w:firstLineChars="200"/>
        <w:jc w:val="both"/>
        <w:rPr>
          <w:rFonts w:hint="eastAsia" w:ascii="楷体" w:hAnsi="楷体" w:eastAsia="楷体" w:cs="楷体"/>
          <w:b/>
          <w:bCs w:val="0"/>
          <w:color w:val="auto"/>
          <w:kern w:val="0"/>
          <w:sz w:val="32"/>
          <w:szCs w:val="32"/>
          <w:lang w:eastAsia="zh-CN"/>
        </w:rPr>
      </w:pP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lang w:val="en-US" w:eastAsia="zh-CN"/>
        </w:rPr>
        <w:t>一</w:t>
      </w:r>
      <w:r>
        <w:rPr>
          <w:rFonts w:hint="eastAsia" w:ascii="楷体" w:hAnsi="楷体" w:eastAsia="楷体" w:cs="楷体"/>
          <w:b/>
          <w:bCs w:val="0"/>
          <w:color w:val="auto"/>
          <w:kern w:val="0"/>
          <w:sz w:val="32"/>
          <w:szCs w:val="32"/>
          <w:lang w:eastAsia="zh-CN"/>
        </w:rPr>
        <w:t>）总体目标</w:t>
      </w:r>
    </w:p>
    <w:p>
      <w:pPr>
        <w:pageBreakBefore w:val="0"/>
        <w:kinsoku/>
        <w:wordWrap/>
        <w:topLinePunct w:val="0"/>
        <w:autoSpaceDE/>
        <w:autoSpaceDN/>
        <w:bidi w:val="0"/>
        <w:spacing w:line="560" w:lineRule="exact"/>
        <w:ind w:firstLine="640" w:firstLineChars="200"/>
        <w:jc w:val="both"/>
        <w:rPr>
          <w:rFonts w:hint="eastAsia" w:ascii="宋体" w:hAnsi="宋体" w:eastAsia="宋体" w:cs="宋体"/>
          <w:i w:val="0"/>
          <w:iCs w:val="0"/>
          <w:color w:val="000000"/>
          <w:kern w:val="0"/>
          <w:sz w:val="18"/>
          <w:szCs w:val="18"/>
          <w:u w:val="none"/>
          <w:lang w:val="en-US" w:eastAsia="zh-CN" w:bidi="ar"/>
        </w:rPr>
      </w:pPr>
      <w:r>
        <w:rPr>
          <w:rFonts w:hint="eastAsia" w:ascii="仿宋_GB2312" w:hAnsi="仿宋_GB2312" w:eastAsia="仿宋_GB2312" w:cs="仿宋_GB2312"/>
          <w:kern w:val="2"/>
          <w:sz w:val="32"/>
          <w:szCs w:val="32"/>
          <w:lang w:val="en-US" w:eastAsia="zh-CN" w:bidi="ar-SA"/>
        </w:rPr>
        <w:t>根据《治理类街乡镇整治提升2021年工作计划》和《北京市财政局 北京市发展和改革委员会关于加强治理类街乡镇整治提升工作市级补助资金保障的意见》（京财预[2020]1938号）文件精神，从群众需求和城市治理的突出问题出发，将主动治理与“接诉即办”、“未诉先办”相结合，优先利用资金突击解决辖区内各小区面临的紧迫性、严重性影响民生的问题。实施2021年治理类乡镇市级补助资金支持项目共计13个，共涉及3个村、4个小区，其中公共服务设施类项目6个，老旧小区改造提升类项目4个，农村基础设施提升类项目3个，项目总投资2347.9万元。</w:t>
      </w:r>
    </w:p>
    <w:p>
      <w:pPr>
        <w:pageBreakBefore w:val="0"/>
        <w:kinsoku/>
        <w:wordWrap/>
        <w:topLinePunct w:val="0"/>
        <w:autoSpaceDE/>
        <w:autoSpaceDN/>
        <w:bidi w:val="0"/>
        <w:spacing w:line="560" w:lineRule="exact"/>
        <w:ind w:firstLine="643" w:firstLineChars="200"/>
        <w:jc w:val="both"/>
        <w:rPr>
          <w:rFonts w:hint="eastAsia" w:ascii="楷体" w:hAnsi="楷体" w:eastAsia="楷体" w:cs="楷体"/>
          <w:b/>
          <w:bCs w:val="0"/>
          <w:color w:val="auto"/>
          <w:kern w:val="0"/>
          <w:sz w:val="32"/>
          <w:szCs w:val="32"/>
          <w:lang w:eastAsia="zh-CN"/>
        </w:rPr>
      </w:pPr>
      <w:r>
        <w:rPr>
          <w:rFonts w:hint="eastAsia" w:ascii="楷体" w:hAnsi="楷体" w:eastAsia="楷体" w:cs="楷体"/>
          <w:b/>
          <w:bCs w:val="0"/>
          <w:color w:val="auto"/>
          <w:kern w:val="0"/>
          <w:sz w:val="32"/>
          <w:szCs w:val="32"/>
          <w:lang w:eastAsia="zh-CN"/>
        </w:rPr>
        <w:t>（</w:t>
      </w:r>
      <w:r>
        <w:rPr>
          <w:rFonts w:hint="eastAsia" w:ascii="楷体" w:hAnsi="楷体" w:eastAsia="楷体" w:cs="楷体"/>
          <w:b/>
          <w:bCs w:val="0"/>
          <w:color w:val="auto"/>
          <w:kern w:val="0"/>
          <w:sz w:val="32"/>
          <w:szCs w:val="32"/>
          <w:lang w:val="en-US" w:eastAsia="zh-CN"/>
        </w:rPr>
        <w:t>二</w:t>
      </w:r>
      <w:r>
        <w:rPr>
          <w:rFonts w:hint="eastAsia" w:ascii="楷体" w:hAnsi="楷体" w:eastAsia="楷体" w:cs="楷体"/>
          <w:b/>
          <w:bCs w:val="0"/>
          <w:color w:val="auto"/>
          <w:kern w:val="0"/>
          <w:sz w:val="32"/>
          <w:szCs w:val="32"/>
          <w:lang w:eastAsia="zh-CN"/>
        </w:rPr>
        <w:t>）项目绩效阶段性目标</w:t>
      </w:r>
    </w:p>
    <w:p>
      <w:pPr>
        <w:pStyle w:val="5"/>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sz w:val="32"/>
          <w:szCs w:val="32"/>
        </w:rPr>
      </w:pPr>
      <w:r>
        <w:rPr>
          <w:rFonts w:hint="eastAsia" w:ascii="方正仿宋_GB2312" w:hAnsi="方正仿宋_GB2312" w:eastAsia="方正仿宋_GB2312" w:cs="方正仿宋_GB2312"/>
          <w:b/>
          <w:bCs/>
          <w:sz w:val="32"/>
          <w:szCs w:val="32"/>
        </w:rPr>
        <w:t>数量指标：</w:t>
      </w:r>
      <w:r>
        <w:rPr>
          <w:rFonts w:hint="eastAsia" w:ascii="仿宋_GB2312" w:hAnsi="仿宋_GB2312" w:eastAsia="仿宋_GB2312" w:cs="仿宋_GB2312"/>
          <w:sz w:val="32"/>
          <w:szCs w:val="32"/>
        </w:rPr>
        <w:t>签订合同数量</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共涉及3个村、4个小区，其中公共服务设施类项目6个，老旧小区改造提升类项目4个，农村基础设施提升类项目3个</w:t>
      </w:r>
      <w:r>
        <w:rPr>
          <w:rFonts w:hint="eastAsia" w:ascii="仿宋_GB2312" w:hAnsi="仿宋_GB2312" w:eastAsia="仿宋_GB2312" w:cs="仿宋_GB2312"/>
          <w:sz w:val="32"/>
          <w:szCs w:val="32"/>
        </w:rPr>
        <w:t>。</w:t>
      </w:r>
    </w:p>
    <w:p>
      <w:pPr>
        <w:pStyle w:val="5"/>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sz w:val="32"/>
          <w:szCs w:val="32"/>
        </w:rPr>
      </w:pPr>
      <w:r>
        <w:rPr>
          <w:rFonts w:hint="eastAsia" w:ascii="方正仿宋_GB2312" w:hAnsi="方正仿宋_GB2312" w:eastAsia="方正仿宋_GB2312" w:cs="方正仿宋_GB2312"/>
          <w:b/>
          <w:bCs/>
          <w:sz w:val="32"/>
          <w:szCs w:val="32"/>
        </w:rPr>
        <w:t>质量指标：</w:t>
      </w:r>
      <w:r>
        <w:rPr>
          <w:rFonts w:hint="eastAsia" w:ascii="仿宋_GB2312" w:hAnsi="仿宋_GB2312" w:eastAsia="仿宋_GB2312" w:cs="仿宋_GB2312"/>
          <w:sz w:val="32"/>
          <w:szCs w:val="32"/>
        </w:rPr>
        <w:t>实施完毕项目竣工验收合格率100%。</w:t>
      </w:r>
    </w:p>
    <w:p>
      <w:pPr>
        <w:pStyle w:val="5"/>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sz w:val="32"/>
          <w:szCs w:val="32"/>
        </w:rPr>
      </w:pPr>
      <w:r>
        <w:rPr>
          <w:rFonts w:hint="eastAsia" w:ascii="方正仿宋_GB2312" w:hAnsi="方正仿宋_GB2312" w:eastAsia="方正仿宋_GB2312" w:cs="方正仿宋_GB2312"/>
          <w:b/>
          <w:bCs/>
          <w:sz w:val="32"/>
          <w:szCs w:val="32"/>
          <w:lang w:val="en-US" w:eastAsia="zh-CN"/>
        </w:rPr>
        <w:t>时效指标</w:t>
      </w:r>
      <w:r>
        <w:rPr>
          <w:rFonts w:hint="eastAsia" w:ascii="方正仿宋_GB2312" w:hAnsi="方正仿宋_GB2312" w:eastAsia="方正仿宋_GB2312" w:cs="方正仿宋_GB2312"/>
          <w:b/>
          <w:bCs/>
          <w:sz w:val="32"/>
          <w:szCs w:val="32"/>
        </w:rPr>
        <w:t>：</w:t>
      </w:r>
      <w:r>
        <w:rPr>
          <w:rFonts w:hint="eastAsia" w:ascii="仿宋_GB2312" w:hAnsi="仿宋_GB2312" w:eastAsia="仿宋_GB2312" w:cs="仿宋_GB2312"/>
          <w:sz w:val="32"/>
          <w:szCs w:val="32"/>
        </w:rPr>
        <w:t>招投标时间2022年6月；完成签订合同时间2022年7月；支付合同首付款时间2022年7月；项目竣工时间2022年8月。</w:t>
      </w:r>
    </w:p>
    <w:p>
      <w:pPr>
        <w:pStyle w:val="5"/>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sz w:val="32"/>
          <w:szCs w:val="32"/>
        </w:rPr>
      </w:pPr>
      <w:r>
        <w:rPr>
          <w:rFonts w:hint="eastAsia" w:ascii="方正仿宋_GB2312" w:hAnsi="方正仿宋_GB2312" w:eastAsia="方正仿宋_GB2312" w:cs="方正仿宋_GB2312"/>
          <w:b/>
          <w:bCs/>
          <w:sz w:val="32"/>
          <w:szCs w:val="32"/>
        </w:rPr>
        <w:t>社会效益指标：</w:t>
      </w:r>
      <w:r>
        <w:rPr>
          <w:rFonts w:hint="eastAsia" w:ascii="仿宋_GB2312" w:hAnsi="仿宋_GB2312" w:eastAsia="仿宋_GB2312" w:cs="仿宋_GB2312"/>
          <w:sz w:val="32"/>
          <w:szCs w:val="32"/>
        </w:rPr>
        <w:t>有效提高居民出行条件；有效开发小区潜在停车资源。</w:t>
      </w:r>
    </w:p>
    <w:p>
      <w:pPr>
        <w:pStyle w:val="5"/>
        <w:pageBreakBefore w:val="0"/>
        <w:kinsoku/>
        <w:wordWrap/>
        <w:topLinePunct w:val="0"/>
        <w:autoSpaceDE/>
        <w:autoSpaceDN/>
        <w:bidi w:val="0"/>
        <w:spacing w:line="560" w:lineRule="exact"/>
        <w:ind w:left="0" w:leftChars="0" w:firstLine="0" w:firstLineChars="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lang w:val="en-US" w:eastAsia="zh-CN"/>
        </w:rPr>
        <w:t>生态效益指标</w:t>
      </w:r>
      <w:r>
        <w:rPr>
          <w:rFonts w:hint="eastAsia" w:ascii="方正仿宋_GB2312" w:hAnsi="方正仿宋_GB2312" w:eastAsia="方正仿宋_GB2312" w:cs="方正仿宋_GB2312"/>
          <w:b/>
          <w:bCs/>
          <w:sz w:val="32"/>
          <w:szCs w:val="32"/>
        </w:rPr>
        <w:t>：</w:t>
      </w:r>
      <w:r>
        <w:rPr>
          <w:rFonts w:hint="eastAsia" w:ascii="仿宋_GB2312" w:hAnsi="仿宋_GB2312" w:eastAsia="仿宋_GB2312" w:cs="仿宋_GB2312"/>
          <w:sz w:val="32"/>
          <w:szCs w:val="32"/>
        </w:rPr>
        <w:t>有效降低居民生活环境，避免噪音污染。</w:t>
      </w:r>
    </w:p>
    <w:p>
      <w:pPr>
        <w:pageBreakBefore w:val="0"/>
        <w:kinsoku/>
        <w:wordWrap/>
        <w:topLinePunct w:val="0"/>
        <w:autoSpaceDE/>
        <w:autoSpaceDN/>
        <w:bidi w:val="0"/>
        <w:spacing w:line="560" w:lineRule="exact"/>
        <w:jc w:val="both"/>
        <w:outlineLvl w:val="0"/>
        <w:rPr>
          <w:rFonts w:hint="default"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rPr>
        <w:t>可持续影响指标：</w:t>
      </w:r>
      <w:r>
        <w:rPr>
          <w:rFonts w:hint="eastAsia" w:ascii="方正仿宋_GB2312" w:hAnsi="方正仿宋_GB2312" w:eastAsia="方正仿宋_GB2312" w:cs="方正仿宋_GB2312"/>
          <w:b w:val="0"/>
          <w:bCs w:val="0"/>
          <w:sz w:val="32"/>
          <w:szCs w:val="32"/>
          <w:lang w:val="en-US" w:eastAsia="zh-CN"/>
        </w:rPr>
        <w:t>减少居民投诉量</w:t>
      </w:r>
      <w:r>
        <w:rPr>
          <w:rFonts w:hint="eastAsia" w:ascii="仿宋_GB2312" w:hAnsi="仿宋_GB2312" w:eastAsia="仿宋_GB2312" w:cs="仿宋_GB2312"/>
          <w:kern w:val="2"/>
          <w:sz w:val="32"/>
          <w:szCs w:val="32"/>
          <w:lang w:val="en-US" w:eastAsia="zh-CN" w:bidi="ar-SA"/>
        </w:rPr>
        <w:t>。</w:t>
      </w:r>
    </w:p>
    <w:p>
      <w:pPr>
        <w:pageBreakBefore w:val="0"/>
        <w:kinsoku/>
        <w:wordWrap/>
        <w:topLinePunct w:val="0"/>
        <w:autoSpaceDE/>
        <w:autoSpaceDN/>
        <w:bidi w:val="0"/>
        <w:spacing w:line="560" w:lineRule="exact"/>
        <w:jc w:val="both"/>
        <w:outlineLvl w:val="0"/>
        <w:rPr>
          <w:rFonts w:ascii="宋体" w:hAnsi="宋体" w:cs="宋体"/>
          <w:color w:val="auto"/>
          <w:kern w:val="0"/>
          <w:sz w:val="22"/>
        </w:rPr>
      </w:pPr>
      <w:r>
        <w:rPr>
          <w:rFonts w:hint="eastAsia" w:ascii="方正仿宋_GB2312" w:hAnsi="方正仿宋_GB2312" w:eastAsia="方正仿宋_GB2312" w:cs="方正仿宋_GB2312"/>
          <w:b/>
          <w:bCs/>
          <w:sz w:val="32"/>
          <w:szCs w:val="32"/>
        </w:rPr>
        <w:t>服务对象满意度指标：</w:t>
      </w:r>
      <w:r>
        <w:rPr>
          <w:rFonts w:hint="eastAsia" w:ascii="仿宋_GB2312" w:hAnsi="仿宋_GB2312" w:eastAsia="仿宋_GB2312" w:cs="仿宋_GB2312"/>
          <w:sz w:val="32"/>
          <w:szCs w:val="32"/>
        </w:rPr>
        <w:t>主管部门满意度100%；社区及物业单位满意度</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0%以上；12345投诉率降低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0%以上。</w:t>
      </w:r>
    </w:p>
    <w:p>
      <w:pPr>
        <w:pageBreakBefore w:val="0"/>
        <w:numPr>
          <w:ilvl w:val="0"/>
          <w:numId w:val="0"/>
        </w:numPr>
        <w:kinsoku/>
        <w:wordWrap/>
        <w:topLinePunct w:val="0"/>
        <w:autoSpaceDE/>
        <w:autoSpaceDN/>
        <w:bidi w:val="0"/>
        <w:spacing w:line="560" w:lineRule="exact"/>
        <w:ind w:left="420" w:leftChars="200" w:firstLine="321" w:firstLineChars="100"/>
        <w:jc w:val="both"/>
        <w:rPr>
          <w:rFonts w:hint="eastAsia"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三、项目绩效情况</w:t>
      </w:r>
    </w:p>
    <w:p>
      <w:pPr>
        <w:pageBreakBefore w:val="0"/>
        <w:numPr>
          <w:ilvl w:val="0"/>
          <w:numId w:val="0"/>
        </w:numPr>
        <w:kinsoku/>
        <w:wordWrap/>
        <w:topLinePunct w:val="0"/>
        <w:autoSpaceDE/>
        <w:autoSpaceDN/>
        <w:bidi w:val="0"/>
        <w:spacing w:line="560" w:lineRule="exact"/>
        <w:ind w:firstLine="643" w:firstLine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1、项目产出完成情况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数量产出完成情况</w:t>
      </w:r>
    </w:p>
    <w:p>
      <w:pPr>
        <w:pStyle w:val="6"/>
        <w:pageBreakBefore w:val="0"/>
        <w:widowControl w:val="0"/>
        <w:kinsoku/>
        <w:wordWrap/>
        <w:overflowPunct w:val="0"/>
        <w:topLinePunct w:val="0"/>
        <w:autoSpaceDE/>
        <w:autoSpaceDN/>
        <w:bidi w:val="0"/>
        <w:adjustRightInd w:val="0"/>
        <w:snapToGrid w:val="0"/>
        <w:spacing w:before="0" w:beforeAutospacing="0" w:after="0" w:afterAutospacing="0" w:line="560" w:lineRule="exact"/>
        <w:ind w:firstLine="640" w:firstLineChars="200"/>
        <w:jc w:val="both"/>
        <w:rPr>
          <w:rFonts w:ascii="仿宋_GB2312" w:hAnsi="仿宋_GB2312" w:eastAsia="仿宋_GB2312" w:cs="仿宋_GB2312"/>
          <w:kern w:val="2"/>
          <w:sz w:val="32"/>
          <w:szCs w:val="32"/>
        </w:rPr>
      </w:pPr>
      <w:r>
        <w:rPr>
          <w:rFonts w:hint="eastAsia" w:ascii="仿宋_GB2312" w:eastAsia="仿宋_GB2312" w:cs="仿宋_GB2312"/>
          <w:color w:val="000000"/>
          <w:sz w:val="32"/>
          <w:szCs w:val="32"/>
        </w:rPr>
        <w:t>根据</w:t>
      </w:r>
      <w:r>
        <w:rPr>
          <w:rFonts w:hint="eastAsia" w:ascii="仿宋_GB2312" w:hAnsi="仿宋_GB2312" w:eastAsia="仿宋_GB2312" w:cs="仿宋_GB2312"/>
          <w:sz w:val="32"/>
          <w:szCs w:val="32"/>
        </w:rPr>
        <w:t>《2021年通州区治理类乡镇市级补助资金使用计划表》</w:t>
      </w:r>
      <w:r>
        <w:rPr>
          <w:rFonts w:hint="eastAsia" w:ascii="仿宋_GB2312" w:eastAsia="仿宋_GB2312" w:cs="仿宋_GB2312"/>
          <w:sz w:val="32"/>
          <w:szCs w:val="32"/>
        </w:rPr>
        <w:t>任务</w:t>
      </w:r>
      <w:r>
        <w:rPr>
          <w:rFonts w:hint="eastAsia" w:ascii="仿宋_GB2312" w:eastAsia="仿宋_GB2312" w:cs="仿宋_GB2312"/>
          <w:color w:val="000000"/>
          <w:sz w:val="32"/>
          <w:szCs w:val="32"/>
        </w:rPr>
        <w:t>要求，共计完成了2021年治理类乡镇市级补助项目中</w:t>
      </w:r>
      <w:r>
        <w:rPr>
          <w:rFonts w:hint="eastAsia" w:ascii="仿宋_GB2312" w:eastAsia="仿宋_GB2312" w:cs="仿宋_GB2312"/>
          <w:color w:val="000000"/>
          <w:sz w:val="32"/>
          <w:szCs w:val="32"/>
          <w:lang w:val="en-US" w:eastAsia="zh-CN"/>
        </w:rPr>
        <w:t>13</w:t>
      </w:r>
      <w:r>
        <w:rPr>
          <w:rFonts w:hint="eastAsia" w:ascii="仿宋_GB2312" w:eastAsia="仿宋_GB2312" w:cs="仿宋_GB2312"/>
          <w:color w:val="000000"/>
          <w:sz w:val="32"/>
          <w:szCs w:val="32"/>
        </w:rPr>
        <w:t>个项目的组织实施工作</w:t>
      </w:r>
      <w:r>
        <w:rPr>
          <w:rFonts w:hint="eastAsia" w:ascii="仿宋_GB2312" w:hAnsi="仿宋_GB2312" w:eastAsia="仿宋_GB2312" w:cs="仿宋_GB2312"/>
          <w:kern w:val="2"/>
          <w:sz w:val="32"/>
          <w:szCs w:val="32"/>
        </w:rPr>
        <w:t>。</w:t>
      </w:r>
    </w:p>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产出质量完成情况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该项目产出质量指标设定为实施完毕项目竣工验收合格率100%。</w:t>
      </w:r>
    </w:p>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产出</w:t>
      </w:r>
      <w:r>
        <w:rPr>
          <w:rFonts w:hint="eastAsia" w:ascii="仿宋_GB2312" w:hAnsi="仿宋_GB2312" w:eastAsia="仿宋_GB2312" w:cs="仿宋_GB2312"/>
          <w:sz w:val="32"/>
          <w:szCs w:val="32"/>
          <w:lang w:val="en-US" w:eastAsia="zh-CN"/>
        </w:rPr>
        <w:t>进度</w:t>
      </w:r>
      <w:r>
        <w:rPr>
          <w:rFonts w:hint="eastAsia" w:ascii="仿宋_GB2312" w:hAnsi="仿宋_GB2312" w:eastAsia="仿宋_GB2312" w:cs="仿宋_GB2312"/>
          <w:sz w:val="32"/>
          <w:szCs w:val="32"/>
        </w:rPr>
        <w:t>完成情况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该项目进度指标设定为招投标时间2022年6月；完成签订合同时间2022年7月；支付合同首付款时间2022年7月；项目竣工时间2022年8月。</w:t>
      </w:r>
    </w:p>
    <w:p>
      <w:pPr>
        <w:pageBreakBefore w:val="0"/>
        <w:kinsoku/>
        <w:wordWrap/>
        <w:overflowPunct w:val="0"/>
        <w:topLinePunct w:val="0"/>
        <w:autoSpaceDE/>
        <w:autoSpaceDN/>
        <w:bidi w:val="0"/>
        <w:adjustRightInd w:val="0"/>
        <w:snapToGrid w:val="0"/>
        <w:spacing w:line="560" w:lineRule="exact"/>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rPr>
        <w:t>2、项目效果实现情况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为贯彻落实《治理类街乡镇整治提升202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年工作计划》和《北京市财政局 北京市发展和改革委员会关于加强治理类街乡镇整治提升工作市级补助资金保障的意见》文件精神，台湖镇政府将主动治理与接诉即办相结合，在进一步深化整治基础上，通过道路井盖改造、道路两侧安装护栏、路灯修复、损路面修复等工作，逐步完善提升辖区生态环境、基础设施、公共服务设施建设水平。通过项目的实施，解决了居民长期反映的道路坑洼不平、照明缺失、绿化缺失、停车困难等问题。改善了居民居住和出行环境，使广大居民在整洁、优美、舒适的环境中生活和居住，同时也提升了辖区的城市环境形象，间接为项目实施区域周边建设和招商引资创造良好条件。项目的实施达到了一定的效益。</w:t>
      </w:r>
    </w:p>
    <w:p>
      <w:pPr>
        <w:pStyle w:val="5"/>
        <w:pageBreakBefore w:val="0"/>
        <w:numPr>
          <w:ilvl w:val="0"/>
          <w:numId w:val="0"/>
        </w:numPr>
        <w:kinsoku/>
        <w:wordWrap/>
        <w:topLinePunct w:val="0"/>
        <w:autoSpaceDE/>
        <w:autoSpaceDN/>
        <w:bidi w:val="0"/>
        <w:spacing w:line="560" w:lineRule="exact"/>
        <w:ind w:left="420" w:leftChars="200" w:firstLine="321" w:firstLineChars="100"/>
        <w:jc w:val="both"/>
        <w:rPr>
          <w:rFonts w:hint="eastAsia" w:ascii="楷体" w:hAnsi="楷体" w:eastAsia="楷体" w:cs="楷体"/>
          <w:b/>
          <w:bCs/>
          <w:sz w:val="32"/>
          <w:szCs w:val="32"/>
        </w:rPr>
      </w:pPr>
      <w:r>
        <w:rPr>
          <w:rFonts w:hint="eastAsia" w:ascii="楷体" w:hAnsi="楷体" w:eastAsia="楷体" w:cs="楷体"/>
          <w:b/>
          <w:bCs/>
          <w:kern w:val="2"/>
          <w:sz w:val="32"/>
          <w:szCs w:val="32"/>
          <w:lang w:val="en-US" w:eastAsia="zh-CN" w:bidi="ar-SA"/>
        </w:rPr>
        <w:t>3、</w:t>
      </w:r>
      <w:r>
        <w:rPr>
          <w:rFonts w:hint="eastAsia" w:ascii="楷体" w:hAnsi="楷体" w:eastAsia="楷体" w:cs="楷体"/>
          <w:b/>
          <w:bCs/>
          <w:sz w:val="32"/>
          <w:szCs w:val="32"/>
        </w:rPr>
        <w:t>项目产出及效果分析</w:t>
      </w:r>
    </w:p>
    <w:p>
      <w:pPr>
        <w:pageBreakBefore w:val="0"/>
        <w:kinsoku/>
        <w:wordWrap/>
        <w:topLinePunct w:val="0"/>
        <w:autoSpaceDE/>
        <w:autoSpaceDN/>
        <w:bidi w:val="0"/>
        <w:spacing w:line="560" w:lineRule="exact"/>
        <w:ind w:firstLine="640" w:firstLineChars="200"/>
        <w:jc w:val="both"/>
        <w:rPr>
          <w:rFonts w:ascii="宋体" w:hAnsi="宋体" w:cs="宋体"/>
          <w:b/>
          <w:color w:val="auto"/>
          <w:kern w:val="0"/>
          <w:sz w:val="22"/>
        </w:rPr>
      </w:pPr>
      <w:r>
        <w:rPr>
          <w:rFonts w:hint="eastAsia" w:ascii="仿宋_GB2312" w:hAnsi="仿宋_GB2312" w:eastAsia="仿宋_GB2312" w:cs="仿宋_GB2312"/>
          <w:sz w:val="32"/>
          <w:szCs w:val="32"/>
        </w:rPr>
        <w:t>台湖镇政府在项目申报预算前进行了财政预算评审工作，具有较好的成本控制措施，项目过程中对施工单位实行公开招标、竞争性磋商或三方比价程序，项目成本履行了合同成本控制程序，项目竣工验收后对项目进行竣工结算评审，项目成本控制规范有效。</w:t>
      </w:r>
    </w:p>
    <w:p>
      <w:pPr>
        <w:pageBreakBefore w:val="0"/>
        <w:numPr>
          <w:ilvl w:val="0"/>
          <w:numId w:val="0"/>
        </w:numPr>
        <w:kinsoku/>
        <w:wordWrap/>
        <w:topLinePunct w:val="0"/>
        <w:autoSpaceDE/>
        <w:autoSpaceDN/>
        <w:bidi w:val="0"/>
        <w:spacing w:line="560" w:lineRule="exact"/>
        <w:ind w:firstLine="643" w:firstLineChars="200"/>
        <w:jc w:val="both"/>
        <w:rPr>
          <w:rFonts w:hint="eastAsia" w:ascii="黑体" w:hAnsi="黑体" w:eastAsia="黑体" w:cs="宋体"/>
          <w:b/>
          <w:bCs/>
          <w:snapToGrid w:val="0"/>
          <w:kern w:val="0"/>
          <w:sz w:val="32"/>
          <w:szCs w:val="32"/>
          <w:lang w:val="en-US" w:eastAsia="zh-CN" w:bidi="ar-SA"/>
        </w:rPr>
      </w:pPr>
      <w:bookmarkStart w:id="1" w:name="_Toc144209279"/>
      <w:bookmarkStart w:id="2" w:name="_Toc143761464"/>
      <w:r>
        <w:rPr>
          <w:rFonts w:hint="eastAsia" w:ascii="黑体" w:hAnsi="黑体" w:eastAsia="黑体" w:cs="宋体"/>
          <w:b/>
          <w:bCs/>
          <w:snapToGrid w:val="0"/>
          <w:kern w:val="0"/>
          <w:sz w:val="32"/>
          <w:szCs w:val="32"/>
          <w:lang w:val="en-US" w:eastAsia="zh-CN" w:bidi="ar-SA"/>
        </w:rPr>
        <w:t>四、项目决策及资金使用管理情况</w:t>
      </w:r>
    </w:p>
    <w:p>
      <w:pPr>
        <w:pStyle w:val="4"/>
        <w:pageBreakBefore w:val="0"/>
        <w:numPr>
          <w:ilvl w:val="0"/>
          <w:numId w:val="0"/>
        </w:numPr>
        <w:kinsoku/>
        <w:wordWrap/>
        <w:overflowPunct w:val="0"/>
        <w:topLinePunct w:val="0"/>
        <w:autoSpaceDE/>
        <w:autoSpaceDN/>
        <w:bidi w:val="0"/>
        <w:spacing w:before="0" w:after="0" w:line="560" w:lineRule="exact"/>
        <w:ind w:firstLine="643" w:firstLineChars="200"/>
        <w:jc w:val="both"/>
        <w:rPr>
          <w:rFonts w:hint="eastAsia" w:ascii="楷体" w:hAnsi="楷体" w:eastAsia="楷体" w:cs="楷体"/>
          <w:bCs/>
          <w:sz w:val="32"/>
          <w:szCs w:val="32"/>
          <w:lang w:val="en-US" w:eastAsia="zh-CN"/>
        </w:rPr>
      </w:pPr>
      <w:bookmarkStart w:id="3" w:name="_Toc144209268"/>
      <w:r>
        <w:rPr>
          <w:rFonts w:hint="eastAsia" w:ascii="楷体" w:hAnsi="楷体" w:eastAsia="楷体" w:cs="楷体"/>
          <w:bCs/>
          <w:sz w:val="32"/>
          <w:szCs w:val="32"/>
        </w:rPr>
        <w:t>（一）</w:t>
      </w:r>
      <w:bookmarkEnd w:id="3"/>
      <w:r>
        <w:rPr>
          <w:rFonts w:hint="eastAsia" w:ascii="楷体" w:hAnsi="楷体" w:eastAsia="楷体" w:cs="楷体"/>
          <w:bCs/>
          <w:sz w:val="32"/>
          <w:szCs w:val="32"/>
          <w:lang w:val="en-US" w:eastAsia="zh-CN"/>
        </w:rPr>
        <w:t>项目决策情况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w:t>
      </w:r>
      <w:r>
        <w:rPr>
          <w:rFonts w:hint="eastAsia" w:ascii="仿宋_GB2312" w:hAnsi="仿宋_GB2312" w:eastAsia="仿宋_GB2312" w:cs="仿宋_GB2312"/>
          <w:color w:val="auto"/>
          <w:sz w:val="32"/>
          <w:szCs w:val="32"/>
          <w:lang w:val="en-US" w:eastAsia="zh-CN"/>
        </w:rPr>
        <w:t>决策</w:t>
      </w:r>
      <w:r>
        <w:rPr>
          <w:rFonts w:hint="eastAsia" w:ascii="仿宋_GB2312" w:hAnsi="仿宋_GB2312" w:eastAsia="仿宋_GB2312" w:cs="仿宋_GB2312"/>
          <w:color w:val="auto"/>
          <w:sz w:val="32"/>
          <w:szCs w:val="32"/>
        </w:rPr>
        <w:t>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关于加强治理类街乡镇整治提升工作市级补助资金保障的意见》（京财预〔2020〕1398号）精神和北京市通州区“疏解整治促提升”专项行动工作办公室关于《通州区关于引导治理类乡镇使用市级专项补助资金开展整治提升工作的意见（征求意见稿）》任务安排，从群众需求和城市治理的突出问题出发，将主动治理与“接诉即办”“未诉先办”结合，以“降量提率、排名提升”为目标，紧扣“七有”要求“五性”需求，坚持“两及时一聚焦”“市、区、街乡镇、社区（村）四级联动”的工作方法，在进一步深化整治基础上，逐步完善提升台湖镇生态环境、基础设施、公共服务设施建设水平。</w:t>
      </w:r>
    </w:p>
    <w:p>
      <w:pPr>
        <w:pStyle w:val="4"/>
        <w:pageBreakBefore w:val="0"/>
        <w:numPr>
          <w:ilvl w:val="0"/>
          <w:numId w:val="0"/>
        </w:numPr>
        <w:kinsoku/>
        <w:wordWrap/>
        <w:overflowPunct w:val="0"/>
        <w:topLinePunct w:val="0"/>
        <w:autoSpaceDE/>
        <w:autoSpaceDN/>
        <w:bidi w:val="0"/>
        <w:spacing w:before="0" w:after="0" w:line="560" w:lineRule="exact"/>
        <w:ind w:firstLine="640" w:firstLineChars="200"/>
        <w:jc w:val="both"/>
        <w:rPr>
          <w:rFonts w:hint="eastAsia" w:ascii="仿宋_GB2312" w:hAnsi="仿宋_GB2312" w:eastAsia="仿宋_GB2312" w:cs="仿宋_GB2312"/>
          <w:b w:val="0"/>
          <w:bCs/>
          <w:color w:val="auto"/>
          <w:sz w:val="32"/>
          <w:szCs w:val="32"/>
          <w:lang w:val="en-US"/>
        </w:rPr>
      </w:pPr>
      <w:r>
        <w:rPr>
          <w:rFonts w:hint="eastAsia" w:ascii="仿宋_GB2312" w:hAnsi="仿宋_GB2312" w:eastAsia="仿宋_GB2312" w:cs="仿宋_GB2312"/>
          <w:b w:val="0"/>
          <w:bCs/>
          <w:color w:val="auto"/>
          <w:sz w:val="32"/>
          <w:szCs w:val="32"/>
        </w:rPr>
        <w:t>2.</w:t>
      </w:r>
      <w:bookmarkStart w:id="4" w:name="_Toc144209276"/>
      <w:r>
        <w:rPr>
          <w:rFonts w:hint="eastAsia" w:ascii="仿宋_GB2312" w:hAnsi="仿宋_GB2312" w:eastAsia="仿宋_GB2312" w:cs="仿宋_GB2312"/>
          <w:b w:val="0"/>
          <w:bCs/>
          <w:color w:val="auto"/>
          <w:sz w:val="32"/>
          <w:szCs w:val="32"/>
        </w:rPr>
        <w:t>项目</w:t>
      </w:r>
      <w:bookmarkEnd w:id="4"/>
      <w:r>
        <w:rPr>
          <w:rFonts w:hint="eastAsia" w:ascii="仿宋_GB2312" w:hAnsi="仿宋_GB2312" w:eastAsia="仿宋_GB2312" w:cs="仿宋_GB2312"/>
          <w:b w:val="0"/>
          <w:bCs/>
          <w:color w:val="auto"/>
          <w:sz w:val="32"/>
          <w:szCs w:val="32"/>
          <w:lang w:val="en-US" w:eastAsia="zh-CN"/>
        </w:rPr>
        <w:t>过程情况</w:t>
      </w:r>
    </w:p>
    <w:p>
      <w:pPr>
        <w:pageBreakBefore w:val="0"/>
        <w:kinsoku/>
        <w:wordWrap/>
        <w:overflowPunct w:val="0"/>
        <w:topLinePunct w:val="0"/>
        <w:autoSpaceDE/>
        <w:autoSpaceDN/>
        <w:bidi w:val="0"/>
        <w:adjustRightInd w:val="0"/>
        <w:snapToGri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项目台账组织各项目依法履行各项制度规定，对需实行招投标的项目，依法依规履行招投标程序，对无需实行招投标的项目，依法依规履行比选比价程序，签订设计、施工、监理合同，并组织各村、各小区物业公司、第三方公司依法有序、积极稳妥开展项目实施工作。</w:t>
      </w:r>
    </w:p>
    <w:p>
      <w:pPr>
        <w:pStyle w:val="4"/>
        <w:pageBreakBefore w:val="0"/>
        <w:numPr>
          <w:ilvl w:val="0"/>
          <w:numId w:val="0"/>
        </w:numPr>
        <w:kinsoku/>
        <w:wordWrap/>
        <w:overflowPunct w:val="0"/>
        <w:topLinePunct w:val="0"/>
        <w:autoSpaceDE/>
        <w:autoSpaceDN/>
        <w:bidi w:val="0"/>
        <w:spacing w:before="0" w:after="0" w:line="560" w:lineRule="exact"/>
        <w:ind w:firstLine="640" w:firstLineChars="200"/>
        <w:jc w:val="both"/>
        <w:rPr>
          <w:rFonts w:hint="eastAsia" w:ascii="仿宋_GB2312" w:hAnsi="仿宋_GB2312" w:eastAsia="仿宋_GB2312" w:cs="仿宋_GB2312"/>
          <w:b w:val="0"/>
          <w:bCs/>
          <w:color w:val="auto"/>
          <w:sz w:val="32"/>
          <w:szCs w:val="32"/>
          <w:lang w:val="en-US"/>
        </w:rPr>
      </w:pPr>
      <w:bookmarkStart w:id="5" w:name="_Toc144209277"/>
      <w:r>
        <w:rPr>
          <w:rFonts w:hint="eastAsia" w:ascii="仿宋_GB2312" w:hAnsi="仿宋_GB2312" w:eastAsia="仿宋_GB2312" w:cs="仿宋_GB2312"/>
          <w:b w:val="0"/>
          <w:bCs/>
          <w:color w:val="auto"/>
          <w:sz w:val="32"/>
          <w:szCs w:val="32"/>
          <w:lang w:val="en-US" w:eastAsia="zh-CN"/>
        </w:rPr>
        <w:t>3.</w:t>
      </w:r>
      <w:r>
        <w:rPr>
          <w:rFonts w:hint="eastAsia" w:ascii="仿宋_GB2312" w:hAnsi="仿宋_GB2312" w:eastAsia="仿宋_GB2312" w:cs="仿宋_GB2312"/>
          <w:b w:val="0"/>
          <w:bCs/>
          <w:color w:val="auto"/>
          <w:sz w:val="32"/>
          <w:szCs w:val="32"/>
        </w:rPr>
        <w:t>项目</w:t>
      </w:r>
      <w:r>
        <w:rPr>
          <w:rFonts w:hint="eastAsia" w:ascii="仿宋_GB2312" w:hAnsi="仿宋_GB2312" w:eastAsia="仿宋_GB2312" w:cs="仿宋_GB2312"/>
          <w:b w:val="0"/>
          <w:bCs/>
          <w:color w:val="auto"/>
          <w:sz w:val="32"/>
          <w:szCs w:val="32"/>
          <w:lang w:val="en-US" w:eastAsia="zh-CN"/>
        </w:rPr>
        <w:t>结果</w:t>
      </w:r>
      <w:bookmarkEnd w:id="5"/>
      <w:r>
        <w:rPr>
          <w:rFonts w:hint="eastAsia" w:ascii="仿宋_GB2312" w:hAnsi="仿宋_GB2312" w:eastAsia="仿宋_GB2312" w:cs="仿宋_GB2312"/>
          <w:b w:val="0"/>
          <w:bCs/>
          <w:color w:val="auto"/>
          <w:sz w:val="32"/>
          <w:szCs w:val="32"/>
          <w:lang w:val="en-US" w:eastAsia="zh-CN"/>
        </w:rPr>
        <w:t>情况</w:t>
      </w:r>
    </w:p>
    <w:p>
      <w:pPr>
        <w:pStyle w:val="6"/>
        <w:pageBreakBefore w:val="0"/>
        <w:widowControl w:val="0"/>
        <w:kinsoku/>
        <w:wordWrap/>
        <w:overflowPunct w:val="0"/>
        <w:topLinePunct w:val="0"/>
        <w:autoSpaceDE/>
        <w:autoSpaceDN/>
        <w:bidi w:val="0"/>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rPr>
        <w:t>根据《2021年通州区治理类乡镇市级补助资金使用计划表》任务要求，</w:t>
      </w:r>
      <w:r>
        <w:rPr>
          <w:rFonts w:hint="eastAsia" w:ascii="仿宋_GB2312" w:hAnsi="仿宋_GB2312" w:eastAsia="仿宋_GB2312" w:cs="仿宋_GB2312"/>
          <w:sz w:val="32"/>
          <w:szCs w:val="32"/>
          <w:lang w:val="en-US" w:eastAsia="zh-CN"/>
        </w:rPr>
        <w:t>评价考核涉及</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p>
    <w:p>
      <w:pPr>
        <w:pStyle w:val="6"/>
        <w:pageBreakBefore w:val="0"/>
        <w:widowControl w:val="0"/>
        <w:numPr>
          <w:ilvl w:val="0"/>
          <w:numId w:val="0"/>
        </w:numPr>
        <w:kinsoku/>
        <w:wordWrap/>
        <w:overflowPunct w:val="0"/>
        <w:topLinePunct w:val="0"/>
        <w:autoSpaceDE/>
        <w:autoSpaceDN/>
        <w:bidi w:val="0"/>
        <w:adjustRightInd w:val="0"/>
        <w:snapToGrid w:val="0"/>
        <w:spacing w:before="0" w:beforeAutospacing="0" w:after="0" w:afterAutospacing="0" w:line="560" w:lineRule="exact"/>
        <w:ind w:firstLine="643" w:firstLineChars="200"/>
        <w:jc w:val="both"/>
        <w:rPr>
          <w:rFonts w:hint="eastAsia" w:ascii="楷体" w:hAnsi="楷体" w:eastAsia="楷体" w:cs="楷体"/>
          <w:b/>
          <w:bCs/>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（二）项目资金安排落实情况</w:t>
      </w:r>
    </w:p>
    <w:p>
      <w:pPr>
        <w:pStyle w:val="5"/>
        <w:pageBreakBefore w:val="0"/>
        <w:numPr>
          <w:ilvl w:val="0"/>
          <w:numId w:val="0"/>
        </w:numPr>
        <w:kinsoku/>
        <w:wordWrap/>
        <w:topLinePunct w:val="0"/>
        <w:autoSpaceDE/>
        <w:autoSpaceDN/>
        <w:bidi w:val="0"/>
        <w:spacing w:line="56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2021年治理类乡镇项目</w:t>
      </w:r>
      <w:r>
        <w:rPr>
          <w:rFonts w:hint="eastAsia" w:ascii="仿宋_GB2312" w:hAnsi="仿宋_GB2312" w:eastAsia="仿宋_GB2312" w:cs="仿宋_GB2312"/>
          <w:sz w:val="32"/>
          <w:szCs w:val="32"/>
          <w:lang w:val="en-US" w:eastAsia="zh-CN"/>
        </w:rPr>
        <w:t>评价考核涉及金额</w:t>
      </w: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val="en-US" w:eastAsia="zh-CN"/>
        </w:rPr>
        <w:t>68.17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,项目已支取完成30.212708万元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项目资金全部为专项资金，不涉及自筹资金和其他资金情况。</w:t>
      </w:r>
    </w:p>
    <w:p>
      <w:pPr>
        <w:pStyle w:val="6"/>
        <w:pageBreakBefore w:val="0"/>
        <w:widowControl w:val="0"/>
        <w:numPr>
          <w:ilvl w:val="0"/>
          <w:numId w:val="0"/>
        </w:numPr>
        <w:kinsoku/>
        <w:wordWrap/>
        <w:overflowPunct w:val="0"/>
        <w:topLinePunct w:val="0"/>
        <w:autoSpaceDE/>
        <w:autoSpaceDN/>
        <w:bidi w:val="0"/>
        <w:adjustRightInd w:val="0"/>
        <w:snapToGrid w:val="0"/>
        <w:spacing w:before="0" w:beforeAutospacing="0" w:after="0" w:afterAutospacing="0" w:line="560" w:lineRule="exact"/>
        <w:ind w:firstLine="643" w:firstLineChars="200"/>
        <w:jc w:val="both"/>
        <w:rPr>
          <w:rFonts w:hint="eastAsia" w:ascii="楷体" w:hAnsi="楷体" w:eastAsia="楷体" w:cs="楷体"/>
          <w:b/>
          <w:bCs/>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（三）项目资金实际使用情况</w:t>
      </w:r>
    </w:p>
    <w:p>
      <w:pPr>
        <w:pStyle w:val="6"/>
        <w:pageBreakBefore w:val="0"/>
        <w:widowControl w:val="0"/>
        <w:numPr>
          <w:ilvl w:val="0"/>
          <w:numId w:val="0"/>
        </w:numPr>
        <w:kinsoku/>
        <w:wordWrap/>
        <w:overflowPunct w:val="0"/>
        <w:topLinePunct w:val="0"/>
        <w:autoSpaceDE/>
        <w:autoSpaceDN/>
        <w:bidi w:val="0"/>
        <w:adjustRightInd w:val="0"/>
        <w:snapToGrid w:val="0"/>
        <w:spacing w:before="0" w:beforeAutospacing="0" w:after="0" w:afterAutospacing="0" w:line="560" w:lineRule="exact"/>
        <w:ind w:firstLine="640" w:firstLineChars="200"/>
        <w:jc w:val="both"/>
        <w:rPr>
          <w:rFonts w:hint="eastAsia" w:ascii="方正楷体_GB2312" w:hAnsi="方正楷体_GB2312" w:eastAsia="方正楷体_GB2312" w:cs="方正楷体_GB2312"/>
          <w:color w:val="auto"/>
          <w:kern w:val="2"/>
          <w:sz w:val="32"/>
          <w:szCs w:val="32"/>
          <w:lang w:val="en-US" w:eastAsia="zh-CN"/>
        </w:rPr>
      </w:pPr>
      <w:r>
        <w:rPr>
          <w:rFonts w:hint="eastAsia" w:ascii="方正楷体_GB2312" w:hAnsi="方正楷体_GB2312" w:eastAsia="方正楷体_GB2312" w:cs="方正楷体_GB2312"/>
          <w:color w:val="auto"/>
          <w:kern w:val="2"/>
          <w:sz w:val="32"/>
          <w:szCs w:val="32"/>
          <w:lang w:val="en-US" w:eastAsia="zh-CN"/>
        </w:rPr>
        <w:t>1、资金到位情况</w:t>
      </w:r>
    </w:p>
    <w:p>
      <w:pPr>
        <w:pStyle w:val="6"/>
        <w:pageBreakBefore w:val="0"/>
        <w:widowControl w:val="0"/>
        <w:numPr>
          <w:ilvl w:val="0"/>
          <w:numId w:val="0"/>
        </w:numPr>
        <w:kinsoku/>
        <w:wordWrap/>
        <w:overflowPunct w:val="0"/>
        <w:topLinePunct w:val="0"/>
        <w:autoSpaceDE/>
        <w:autoSpaceDN/>
        <w:bidi w:val="0"/>
        <w:adjustRightInd w:val="0"/>
        <w:snapToGrid w:val="0"/>
        <w:spacing w:before="0" w:beforeAutospacing="0" w:after="0" w:afterAutospacing="0" w:line="560" w:lineRule="exact"/>
        <w:ind w:firstLine="640" w:firstLineChars="200"/>
        <w:jc w:val="both"/>
        <w:rPr>
          <w:rFonts w:hint="default" w:ascii="楷体_GB2312" w:hAnsi="仿宋_GB2312" w:eastAsia="仿宋_GB2312" w:cs="仿宋_GB2312"/>
          <w:b/>
          <w:bCs/>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rPr>
        <w:t>项目</w:t>
      </w:r>
      <w:r>
        <w:rPr>
          <w:rFonts w:hint="eastAsia" w:ascii="仿宋_GB2312" w:hAnsi="Times New Roman" w:eastAsia="仿宋_GB2312" w:cs="Times New Roman"/>
          <w:color w:val="auto"/>
          <w:kern w:val="2"/>
          <w:sz w:val="32"/>
          <w:szCs w:val="32"/>
        </w:rPr>
        <w:t>涉及评价金额</w:t>
      </w:r>
      <w:r>
        <w:rPr>
          <w:rFonts w:hint="eastAsia" w:ascii="仿宋_GB2312" w:hAnsi="Times New Roman" w:eastAsia="仿宋_GB2312" w:cs="Times New Roman"/>
          <w:color w:val="auto"/>
          <w:kern w:val="2"/>
          <w:sz w:val="32"/>
          <w:szCs w:val="32"/>
          <w:lang w:val="en-US" w:eastAsia="zh-CN"/>
        </w:rPr>
        <w:t>68.17</w:t>
      </w:r>
      <w:r>
        <w:rPr>
          <w:rFonts w:hint="eastAsia" w:ascii="仿宋_GB2312" w:hAnsi="仿宋_GB2312" w:eastAsia="仿宋_GB2312" w:cs="仿宋_GB2312"/>
          <w:color w:val="auto"/>
          <w:kern w:val="2"/>
          <w:sz w:val="32"/>
          <w:szCs w:val="32"/>
        </w:rPr>
        <w:t>万元</w:t>
      </w:r>
      <w:r>
        <w:rPr>
          <w:rFonts w:hint="eastAsia" w:ascii="仿宋_GB2312" w:hAnsi="仿宋_GB2312" w:eastAsia="仿宋_GB2312" w:cs="仿宋_GB2312"/>
          <w:color w:val="auto"/>
          <w:kern w:val="2"/>
          <w:sz w:val="32"/>
          <w:szCs w:val="32"/>
          <w:lang w:val="en-US" w:eastAsia="zh-CN"/>
        </w:rPr>
        <w:t>在2024</w:t>
      </w:r>
      <w:r>
        <w:rPr>
          <w:rFonts w:hint="eastAsia" w:ascii="仿宋_GB2312" w:hAnsi="仿宋_GB2312" w:eastAsia="仿宋_GB2312" w:cs="仿宋_GB2312"/>
          <w:color w:val="auto"/>
          <w:kern w:val="2"/>
          <w:sz w:val="32"/>
          <w:szCs w:val="32"/>
          <w:highlight w:val="none"/>
          <w:lang w:val="en-US" w:eastAsia="zh-CN"/>
        </w:rPr>
        <w:t>年6月26日下</w:t>
      </w:r>
      <w:r>
        <w:rPr>
          <w:rFonts w:hint="eastAsia" w:ascii="仿宋_GB2312" w:hAnsi="仿宋_GB2312" w:eastAsia="仿宋_GB2312" w:cs="仿宋_GB2312"/>
          <w:color w:val="auto"/>
          <w:kern w:val="2"/>
          <w:sz w:val="32"/>
          <w:szCs w:val="32"/>
          <w:lang w:val="en-US" w:eastAsia="zh-CN"/>
        </w:rPr>
        <w:t>达。</w:t>
      </w:r>
    </w:p>
    <w:p>
      <w:pPr>
        <w:pStyle w:val="6"/>
        <w:pageBreakBefore w:val="0"/>
        <w:widowControl w:val="0"/>
        <w:numPr>
          <w:ilvl w:val="0"/>
          <w:numId w:val="0"/>
        </w:numPr>
        <w:kinsoku/>
        <w:wordWrap/>
        <w:overflowPunct w:val="0"/>
        <w:topLinePunct w:val="0"/>
        <w:autoSpaceDE/>
        <w:autoSpaceDN/>
        <w:bidi w:val="0"/>
        <w:adjustRightInd w:val="0"/>
        <w:snapToGrid w:val="0"/>
        <w:spacing w:before="0" w:beforeAutospacing="0" w:after="0" w:afterAutospacing="0" w:line="560" w:lineRule="exact"/>
        <w:ind w:firstLine="640" w:firstLineChars="200"/>
        <w:jc w:val="both"/>
        <w:rPr>
          <w:rFonts w:hint="eastAsia" w:ascii="方正楷体_GB2312" w:hAnsi="方正楷体_GB2312" w:eastAsia="方正楷体_GB2312" w:cs="方正楷体_GB2312"/>
          <w:b w:val="0"/>
          <w:bCs w:val="0"/>
          <w:color w:val="auto"/>
          <w:kern w:val="2"/>
          <w:sz w:val="32"/>
          <w:szCs w:val="32"/>
          <w:lang w:val="en-US" w:eastAsia="zh-CN" w:bidi="ar-SA"/>
        </w:rPr>
      </w:pPr>
      <w:r>
        <w:rPr>
          <w:rFonts w:hint="eastAsia" w:ascii="方正楷体_GB2312" w:hAnsi="方正楷体_GB2312" w:eastAsia="方正楷体_GB2312" w:cs="方正楷体_GB2312"/>
          <w:b w:val="0"/>
          <w:bCs w:val="0"/>
          <w:color w:val="auto"/>
          <w:kern w:val="2"/>
          <w:sz w:val="32"/>
          <w:szCs w:val="32"/>
          <w:lang w:val="en-US" w:eastAsia="zh-CN" w:bidi="ar-SA"/>
        </w:rPr>
        <w:t>2、资金使用情况</w:t>
      </w:r>
    </w:p>
    <w:p>
      <w:pPr>
        <w:pStyle w:val="2"/>
        <w:pageBreakBefore w:val="0"/>
        <w:kinsoku/>
        <w:wordWrap/>
        <w:topLinePunct w:val="0"/>
        <w:autoSpaceDE/>
        <w:autoSpaceDN/>
        <w:bidi w:val="0"/>
        <w:spacing w:line="560" w:lineRule="exact"/>
        <w:ind w:left="0" w:leftChars="0" w:firstLine="640" w:firstLineChars="200"/>
        <w:jc w:val="both"/>
        <w:rPr>
          <w:rFonts w:hint="eastAsia"/>
          <w:lang w:val="en-US" w:eastAsia="zh-CN"/>
        </w:rPr>
      </w:pPr>
      <w:r>
        <w:rPr>
          <w:rFonts w:hint="eastAsia" w:ascii="仿宋_GB2312" w:hAnsi="仿宋_GB2312" w:eastAsia="仿宋_GB2312" w:cs="仿宋_GB2312"/>
          <w:color w:val="auto"/>
          <w:kern w:val="2"/>
          <w:sz w:val="32"/>
          <w:szCs w:val="32"/>
          <w:lang w:val="en-US" w:eastAsia="zh-CN"/>
        </w:rPr>
        <w:t>本次项目涉及评价金额68.17万元，截止2024年底支出30.212708万元。</w:t>
      </w:r>
      <w:r>
        <w:rPr>
          <w:rFonts w:hint="eastAsia" w:ascii="仿宋_GB2312" w:hAnsi="仿宋_GB2312" w:eastAsia="仿宋_GB2312" w:cs="仿宋_GB2312"/>
          <w:sz w:val="32"/>
          <w:szCs w:val="32"/>
        </w:rPr>
        <w:t>资金支付明细见下表：</w:t>
      </w:r>
    </w:p>
    <w:tbl>
      <w:tblPr>
        <w:tblStyle w:val="7"/>
        <w:tblW w:w="8778" w:type="dxa"/>
        <w:tblInd w:w="-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2971"/>
        <w:gridCol w:w="1059"/>
        <w:gridCol w:w="1088"/>
        <w:gridCol w:w="956"/>
        <w:gridCol w:w="22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4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序号</w:t>
            </w:r>
          </w:p>
        </w:tc>
        <w:tc>
          <w:tcPr>
            <w:tcW w:w="2971"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预算内容</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执行内容</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支出金额</w:t>
            </w:r>
          </w:p>
        </w:tc>
        <w:tc>
          <w:tcPr>
            <w:tcW w:w="9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对应凭证号</w:t>
            </w: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差异原因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i w:val="0"/>
                <w:iCs w:val="0"/>
                <w:sz w:val="18"/>
                <w:szCs w:val="18"/>
                <w:lang w:val="en-US" w:eastAsia="zh-CN"/>
              </w:rPr>
            </w:pPr>
            <w:r>
              <w:rPr>
                <w:rFonts w:hint="eastAsia" w:ascii="宋体" w:hAnsi="宋体" w:eastAsia="宋体" w:cs="宋体"/>
                <w:i w:val="0"/>
                <w:iCs w:val="0"/>
                <w:sz w:val="18"/>
                <w:szCs w:val="18"/>
                <w:lang w:val="en-US" w:eastAsia="zh-CN"/>
              </w:rPr>
              <w:t>1</w:t>
            </w:r>
          </w:p>
        </w:tc>
        <w:tc>
          <w:tcPr>
            <w:tcW w:w="2971" w:type="dxa"/>
            <w:noWrap w:val="0"/>
            <w:vAlign w:val="center"/>
          </w:tcPr>
          <w:p>
            <w:pPr>
              <w:keepNext w:val="0"/>
              <w:keepLines w:val="0"/>
              <w:pageBreakBefore w:val="0"/>
              <w:widowControl/>
              <w:suppressLineNumbers w:val="0"/>
              <w:kinsoku/>
              <w:wordWrap/>
              <w:topLinePunct w:val="0"/>
              <w:autoSpaceDE/>
              <w:autoSpaceDN/>
              <w:bidi w:val="0"/>
              <w:spacing w:line="560" w:lineRule="exact"/>
              <w:jc w:val="both"/>
              <w:textAlignment w:val="center"/>
              <w:rPr>
                <w:rFonts w:hint="eastAsia" w:ascii="宋体" w:hAnsi="宋体" w:eastAsia="宋体" w:cs="宋体"/>
                <w:i w:val="0"/>
                <w:iCs w:val="0"/>
                <w:sz w:val="18"/>
                <w:szCs w:val="18"/>
              </w:rPr>
            </w:pPr>
            <w:r>
              <w:rPr>
                <w:rFonts w:hint="eastAsia" w:ascii="宋体" w:hAnsi="宋体" w:eastAsia="宋体" w:cs="宋体"/>
                <w:i w:val="0"/>
                <w:iCs w:val="0"/>
                <w:color w:val="000000"/>
                <w:kern w:val="0"/>
                <w:sz w:val="18"/>
                <w:szCs w:val="18"/>
                <w:u w:val="none"/>
                <w:lang w:val="en-US" w:eastAsia="zh-CN" w:bidi="ar"/>
              </w:rPr>
              <w:t>三支渠（前营段）、新四支渠（玉甫上营至凉水河入口段）河道清理及环境整治提升工程</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i w:val="0"/>
                <w:iCs w:val="0"/>
                <w:sz w:val="18"/>
                <w:szCs w:val="18"/>
                <w:lang w:val="en-US" w:eastAsia="zh-CN"/>
              </w:rPr>
            </w:pPr>
            <w:r>
              <w:rPr>
                <w:rFonts w:hint="eastAsia" w:ascii="宋体" w:hAnsi="宋体" w:eastAsia="宋体" w:cs="宋体"/>
                <w:i w:val="0"/>
                <w:iCs w:val="0"/>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rPr>
            </w:pPr>
            <w:r>
              <w:rPr>
                <w:rFonts w:hint="eastAsia" w:ascii="宋体" w:hAnsi="宋体" w:eastAsia="宋体" w:cs="宋体"/>
                <w:sz w:val="18"/>
                <w:szCs w:val="18"/>
                <w:lang w:val="en-US" w:eastAsia="zh-CN"/>
              </w:rPr>
              <w:t>12.631506</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56" w:type="dxa"/>
            <w:vMerge w:val="restart"/>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971" w:type="dxa"/>
            <w:vMerge w:val="restart"/>
            <w:noWrap w:val="0"/>
            <w:vAlign w:val="center"/>
          </w:tcPr>
          <w:p>
            <w:pPr>
              <w:keepNext w:val="0"/>
              <w:keepLines w:val="0"/>
              <w:pageBreakBefore w:val="0"/>
              <w:widowControl/>
              <w:suppressLineNumbers w:val="0"/>
              <w:kinsoku/>
              <w:wordWrap/>
              <w:topLinePunct w:val="0"/>
              <w:autoSpaceDE/>
              <w:autoSpaceDN/>
              <w:bidi w:val="0"/>
              <w:spacing w:line="560" w:lineRule="exact"/>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东居时代小区楼顶防水等工程</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r>
              <w:rPr>
                <w:rFonts w:hint="eastAsia" w:ascii="宋体" w:hAnsi="宋体" w:cs="宋体"/>
                <w:sz w:val="18"/>
                <w:szCs w:val="18"/>
                <w:lang w:val="en-US" w:eastAsia="zh-CN"/>
              </w:rPr>
              <w:t>.</w:t>
            </w:r>
            <w:r>
              <w:rPr>
                <w:rFonts w:hint="eastAsia" w:ascii="宋体" w:hAnsi="宋体" w:eastAsia="宋体" w:cs="宋体"/>
                <w:sz w:val="18"/>
                <w:szCs w:val="18"/>
                <w:lang w:val="en-US" w:eastAsia="zh-CN"/>
              </w:rPr>
              <w:t>379165</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56" w:type="dxa"/>
            <w:vMerge w:val="continue"/>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p>
        </w:tc>
        <w:tc>
          <w:tcPr>
            <w:tcW w:w="2971" w:type="dxa"/>
            <w:vMerge w:val="continue"/>
            <w:noWrap w:val="0"/>
            <w:vAlign w:val="center"/>
          </w:tcPr>
          <w:p>
            <w:pPr>
              <w:keepNext w:val="0"/>
              <w:keepLines w:val="0"/>
              <w:pageBreakBefore w:val="0"/>
              <w:widowControl/>
              <w:suppressLineNumbers w:val="0"/>
              <w:kinsoku/>
              <w:wordWrap/>
              <w:topLinePunct w:val="0"/>
              <w:autoSpaceDE/>
              <w:autoSpaceDN/>
              <w:bidi w:val="0"/>
              <w:spacing w:line="56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2.912489</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56" w:type="dxa"/>
            <w:vMerge w:val="continue"/>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p>
        </w:tc>
        <w:tc>
          <w:tcPr>
            <w:tcW w:w="2971" w:type="dxa"/>
            <w:vMerge w:val="continue"/>
            <w:noWrap w:val="0"/>
            <w:vAlign w:val="center"/>
          </w:tcPr>
          <w:p>
            <w:pPr>
              <w:keepNext w:val="0"/>
              <w:keepLines w:val="0"/>
              <w:pageBreakBefore w:val="0"/>
              <w:widowControl/>
              <w:suppressLineNumbers w:val="0"/>
              <w:kinsoku/>
              <w:wordWrap/>
              <w:topLinePunct w:val="0"/>
              <w:autoSpaceDE/>
              <w:autoSpaceDN/>
              <w:bidi w:val="0"/>
              <w:spacing w:line="56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1.928532</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456" w:type="dxa"/>
            <w:vMerge w:val="continue"/>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p>
        </w:tc>
        <w:tc>
          <w:tcPr>
            <w:tcW w:w="2971" w:type="dxa"/>
            <w:vMerge w:val="continue"/>
            <w:noWrap w:val="0"/>
            <w:vAlign w:val="center"/>
          </w:tcPr>
          <w:p>
            <w:pPr>
              <w:keepNext w:val="0"/>
              <w:keepLines w:val="0"/>
              <w:pageBreakBefore w:val="0"/>
              <w:widowControl/>
              <w:suppressLineNumbers w:val="0"/>
              <w:kinsoku/>
              <w:wordWrap/>
              <w:topLinePunct w:val="0"/>
              <w:autoSpaceDE/>
              <w:autoSpaceDN/>
              <w:bidi w:val="0"/>
              <w:spacing w:line="56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结算评审费</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0.914132</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4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971"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color w:val="auto"/>
                <w:kern w:val="2"/>
                <w:sz w:val="18"/>
                <w:szCs w:val="18"/>
                <w:lang w:val="en-US" w:eastAsia="zh-CN" w:bidi="ar-SA"/>
              </w:rPr>
            </w:pPr>
            <w:r>
              <w:rPr>
                <w:rFonts w:hint="eastAsia" w:ascii="宋体" w:hAnsi="宋体" w:eastAsia="宋体" w:cs="宋体"/>
                <w:sz w:val="18"/>
                <w:szCs w:val="18"/>
              </w:rPr>
              <w:t>台湖镇公交站亭工程</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10.237228</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2971"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拆迁村路灯修复工程</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0.092998</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 w:hRule="atLeast"/>
        </w:trPr>
        <w:tc>
          <w:tcPr>
            <w:tcW w:w="456"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971"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rPr>
              <w:t>东石村道路两侧安装护栏工程</w:t>
            </w: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工程款</w:t>
            </w: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1.116658</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4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r>
              <w:rPr>
                <w:rFonts w:hint="eastAsia" w:ascii="宋体" w:hAnsi="宋体" w:eastAsia="宋体" w:cs="宋体"/>
                <w:sz w:val="18"/>
                <w:szCs w:val="18"/>
              </w:rPr>
              <w:t>合计</w:t>
            </w:r>
          </w:p>
        </w:tc>
        <w:tc>
          <w:tcPr>
            <w:tcW w:w="2971"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1059"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rPr>
            </w:pPr>
          </w:p>
        </w:tc>
        <w:tc>
          <w:tcPr>
            <w:tcW w:w="1088" w:type="dxa"/>
            <w:noWrap w:val="0"/>
            <w:vAlign w:val="center"/>
          </w:tcPr>
          <w:p>
            <w:pPr>
              <w:pageBreakBefore w:val="0"/>
              <w:kinsoku/>
              <w:wordWrap/>
              <w:topLinePunct w:val="0"/>
              <w:autoSpaceDE/>
              <w:autoSpaceDN/>
              <w:bidi w:val="0"/>
              <w:spacing w:line="56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30.212708</w:t>
            </w:r>
          </w:p>
        </w:tc>
        <w:tc>
          <w:tcPr>
            <w:tcW w:w="956"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p>
        </w:tc>
        <w:tc>
          <w:tcPr>
            <w:tcW w:w="2248" w:type="dxa"/>
            <w:noWrap w:val="0"/>
            <w:vAlign w:val="center"/>
          </w:tcPr>
          <w:p>
            <w:pPr>
              <w:pageBreakBefore w:val="0"/>
              <w:kinsoku/>
              <w:wordWrap/>
              <w:topLinePunct w:val="0"/>
              <w:autoSpaceDE/>
              <w:autoSpaceDN/>
              <w:bidi w:val="0"/>
              <w:spacing w:line="560" w:lineRule="exact"/>
              <w:jc w:val="both"/>
              <w:rPr>
                <w:rFonts w:hint="eastAsia" w:ascii="宋体" w:hAnsi="宋体" w:eastAsia="宋体" w:cs="宋体"/>
                <w:sz w:val="18"/>
                <w:szCs w:val="18"/>
              </w:rPr>
            </w:pPr>
            <w:r>
              <w:rPr>
                <w:rFonts w:hint="eastAsia" w:ascii="宋体" w:hAnsi="宋体" w:eastAsia="宋体" w:cs="宋体"/>
                <w:sz w:val="18"/>
                <w:szCs w:val="18"/>
              </w:rPr>
              <w:t>剩余</w:t>
            </w:r>
            <w:r>
              <w:rPr>
                <w:rFonts w:hint="eastAsia" w:ascii="宋体" w:hAnsi="宋体" w:eastAsia="宋体" w:cs="宋体"/>
                <w:sz w:val="18"/>
                <w:szCs w:val="18"/>
                <w:lang w:val="en-US" w:eastAsia="zh-CN"/>
              </w:rPr>
              <w:t>37.957292万</w:t>
            </w:r>
            <w:r>
              <w:rPr>
                <w:rFonts w:hint="eastAsia" w:ascii="宋体" w:hAnsi="宋体" w:eastAsia="宋体" w:cs="宋体"/>
                <w:sz w:val="18"/>
                <w:szCs w:val="18"/>
              </w:rPr>
              <w:t>资金为项目质保金，因项目未到质保期，所以没有完全支取。</w:t>
            </w:r>
          </w:p>
        </w:tc>
      </w:tr>
    </w:tbl>
    <w:p>
      <w:pPr>
        <w:pageBreakBefore w:val="0"/>
        <w:numPr>
          <w:ilvl w:val="0"/>
          <w:numId w:val="0"/>
        </w:numPr>
        <w:kinsoku/>
        <w:wordWrap/>
        <w:topLinePunct w:val="0"/>
        <w:autoSpaceDE/>
        <w:autoSpaceDN/>
        <w:bidi w:val="0"/>
        <w:spacing w:line="560" w:lineRule="exact"/>
        <w:ind w:left="0" w:leftChars="0" w:firstLine="643" w:firstLineChars="200"/>
        <w:jc w:val="both"/>
        <w:rPr>
          <w:rFonts w:hint="default" w:ascii="楷体" w:hAnsi="楷体" w:eastAsia="楷体" w:cs="楷体"/>
          <w:b/>
          <w:bCs/>
          <w:color w:val="auto"/>
          <w:kern w:val="2"/>
          <w:sz w:val="32"/>
          <w:szCs w:val="32"/>
          <w:lang w:val="en-US" w:eastAsia="zh-CN" w:bidi="ar-SA"/>
        </w:rPr>
      </w:pPr>
      <w:r>
        <w:rPr>
          <w:rFonts w:hint="eastAsia" w:ascii="楷体" w:hAnsi="楷体" w:eastAsia="楷体" w:cs="楷体"/>
          <w:b/>
          <w:bCs/>
          <w:color w:val="auto"/>
          <w:kern w:val="2"/>
          <w:sz w:val="32"/>
          <w:szCs w:val="32"/>
          <w:lang w:val="en-US" w:eastAsia="zh-CN" w:bidi="ar-SA"/>
        </w:rPr>
        <w:t>（四）</w:t>
      </w:r>
      <w:r>
        <w:rPr>
          <w:rFonts w:hint="default" w:ascii="楷体" w:hAnsi="楷体" w:eastAsia="楷体" w:cs="楷体"/>
          <w:b/>
          <w:bCs/>
          <w:color w:val="auto"/>
          <w:kern w:val="2"/>
          <w:sz w:val="32"/>
          <w:szCs w:val="32"/>
          <w:lang w:val="en-US" w:eastAsia="zh-CN" w:bidi="ar-SA"/>
        </w:rPr>
        <w:t>项目资金管理情况</w:t>
      </w:r>
    </w:p>
    <w:p>
      <w:pPr>
        <w:pageBreakBefore w:val="0"/>
        <w:numPr>
          <w:ilvl w:val="0"/>
          <w:numId w:val="0"/>
        </w:numPr>
        <w:kinsoku/>
        <w:wordWrap/>
        <w:topLinePunct w:val="0"/>
        <w:autoSpaceDE/>
        <w:autoSpaceDN/>
        <w:bidi w:val="0"/>
        <w:spacing w:line="560" w:lineRule="exact"/>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1、资金管理制度建设情况</w:t>
      </w:r>
    </w:p>
    <w:p>
      <w:pPr>
        <w:pageBreakBefore w:val="0"/>
        <w:numPr>
          <w:ilvl w:val="0"/>
          <w:numId w:val="0"/>
        </w:numPr>
        <w:kinsoku/>
        <w:wordWrap/>
        <w:topLinePunct w:val="0"/>
        <w:autoSpaceDE/>
        <w:autoSpaceDN/>
        <w:bidi w:val="0"/>
        <w:spacing w:line="560" w:lineRule="exact"/>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台湖镇财务管理制度和内部控制机制较为健全，制定了《台湖镇政府内部控制制度》《台湖镇政府内部审计制度》《台湖镇政府预算管理制度》《台湖镇政府收支管理制度》《台湖镇政府货币资金管理制度》《台湖镇政府采购管理制度》《台湖镇政府资产管理制度》《台湖镇政府建设项目管理制度》《台湖镇政府合同管理制度》等制度。</w:t>
      </w:r>
    </w:p>
    <w:p>
      <w:pPr>
        <w:pageBreakBefore w:val="0"/>
        <w:numPr>
          <w:ilvl w:val="0"/>
          <w:numId w:val="0"/>
        </w:numPr>
        <w:kinsoku/>
        <w:wordWrap/>
        <w:topLinePunct w:val="0"/>
        <w:autoSpaceDE/>
        <w:autoSpaceDN/>
        <w:bidi w:val="0"/>
        <w:spacing w:line="560" w:lineRule="exact"/>
        <w:ind w:left="420" w:leftChars="200" w:firstLine="320" w:firstLineChars="1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2、资金管理情况</w:t>
      </w:r>
    </w:p>
    <w:p>
      <w:pPr>
        <w:pageBreakBefore w:val="0"/>
        <w:numPr>
          <w:ilvl w:val="0"/>
          <w:numId w:val="0"/>
        </w:numPr>
        <w:kinsoku/>
        <w:wordWrap/>
        <w:topLinePunct w:val="0"/>
        <w:autoSpaceDE/>
        <w:autoSpaceDN/>
        <w:bidi w:val="0"/>
        <w:spacing w:line="560" w:lineRule="exact"/>
        <w:ind w:firstLine="640" w:firstLineChars="200"/>
        <w:jc w:val="both"/>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年项目预算批复区级资金</w:t>
      </w:r>
      <w:r>
        <w:rPr>
          <w:rFonts w:hint="eastAsia" w:ascii="仿宋_GB2312" w:hAnsi="仿宋_GB2312" w:eastAsia="仿宋_GB2312" w:cs="仿宋_GB2312"/>
          <w:sz w:val="32"/>
          <w:szCs w:val="32"/>
          <w:lang w:val="en-US" w:eastAsia="zh-CN"/>
        </w:rPr>
        <w:t>68.17</w:t>
      </w:r>
      <w:r>
        <w:rPr>
          <w:rFonts w:hint="eastAsia" w:ascii="仿宋_GB2312" w:hAnsi="仿宋_GB2312" w:eastAsia="仿宋_GB2312" w:cs="仿宋_GB2312"/>
          <w:sz w:val="32"/>
          <w:szCs w:val="32"/>
        </w:rPr>
        <w:t>万元，截至202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年12月31日，项目实际到位资金</w:t>
      </w:r>
      <w:r>
        <w:rPr>
          <w:rFonts w:hint="eastAsia" w:ascii="仿宋_GB2312" w:hAnsi="仿宋_GB2312" w:eastAsia="仿宋_GB2312" w:cs="仿宋_GB2312"/>
          <w:sz w:val="32"/>
          <w:szCs w:val="32"/>
          <w:lang w:val="en-US" w:eastAsia="zh-CN"/>
        </w:rPr>
        <w:t>68.17</w:t>
      </w:r>
      <w:r>
        <w:rPr>
          <w:rFonts w:hint="eastAsia" w:ascii="仿宋_GB2312" w:hAnsi="仿宋_GB2312" w:eastAsia="仿宋_GB2312" w:cs="仿宋_GB2312"/>
          <w:sz w:val="32"/>
          <w:szCs w:val="32"/>
        </w:rPr>
        <w:t>万元，资金到位率100%。截至202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日，项目实际支出区级预算资金</w:t>
      </w:r>
      <w:r>
        <w:rPr>
          <w:rFonts w:hint="eastAsia" w:ascii="仿宋_GB2312" w:hAnsi="仿宋_GB2312" w:eastAsia="仿宋_GB2312" w:cs="仿宋_GB2312"/>
          <w:sz w:val="32"/>
          <w:szCs w:val="32"/>
          <w:lang w:val="en-US" w:eastAsia="zh-CN"/>
        </w:rPr>
        <w:t>30.212708</w:t>
      </w:r>
      <w:r>
        <w:rPr>
          <w:rFonts w:hint="eastAsia" w:ascii="仿宋_GB2312" w:hAnsi="仿宋_GB2312" w:eastAsia="仿宋_GB2312" w:cs="仿宋_GB2312"/>
          <w:sz w:val="32"/>
          <w:szCs w:val="32"/>
        </w:rPr>
        <w:t>万元，预算执行率</w:t>
      </w:r>
      <w:r>
        <w:rPr>
          <w:rFonts w:hint="eastAsia" w:ascii="仿宋_GB2312" w:hAnsi="仿宋_GB2312" w:eastAsia="仿宋_GB2312" w:cs="仿宋_GB2312"/>
          <w:sz w:val="32"/>
          <w:szCs w:val="32"/>
          <w:lang w:val="en-US" w:eastAsia="zh-CN"/>
        </w:rPr>
        <w:t>44.32</w:t>
      </w:r>
      <w:r>
        <w:rPr>
          <w:rFonts w:hint="eastAsia" w:ascii="仿宋_GB2312" w:hAnsi="仿宋_GB2312" w:eastAsia="仿宋_GB2312" w:cs="仿宋_GB2312"/>
          <w:sz w:val="32"/>
          <w:szCs w:val="32"/>
        </w:rPr>
        <w:t>%。</w:t>
      </w:r>
    </w:p>
    <w:p>
      <w:pPr>
        <w:pageBreakBefore w:val="0"/>
        <w:numPr>
          <w:ilvl w:val="0"/>
          <w:numId w:val="0"/>
        </w:numPr>
        <w:kinsoku/>
        <w:wordWrap/>
        <w:topLinePunct w:val="0"/>
        <w:autoSpaceDE/>
        <w:autoSpaceDN/>
        <w:bidi w:val="0"/>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台湖镇政府为规范和加强财政资金的管理，提高财政资金的使用效益。严格执行单位《内部控制规范手册》和区疏整促专项办资金管理使用要求，同时围绕《台湖镇整治提升工作市级补助资金使用管理方案》、《台湖镇整治提升工作三年行动计划》，坚持“集中使用，突出重点；总体规划，分年实施；项目管理，绩效考评；公开透明，强化监管”的原则，实行“专户管理、专项使用”的管理模式。</w:t>
      </w:r>
    </w:p>
    <w:p>
      <w:pPr>
        <w:pageBreakBefore w:val="0"/>
        <w:numPr>
          <w:ilvl w:val="0"/>
          <w:numId w:val="0"/>
        </w:numPr>
        <w:kinsoku/>
        <w:wordWrap/>
        <w:topLinePunct w:val="0"/>
        <w:autoSpaceDE/>
        <w:autoSpaceDN/>
        <w:bidi w:val="0"/>
        <w:spacing w:line="560" w:lineRule="exact"/>
        <w:ind w:firstLine="643" w:firstLineChars="200"/>
        <w:jc w:val="both"/>
        <w:rPr>
          <w:rFonts w:hint="eastAsia" w:ascii="黑体" w:hAnsi="黑体" w:eastAsia="黑体" w:cs="黑体"/>
          <w:b/>
          <w:bCs/>
          <w:snapToGrid w:val="0"/>
          <w:kern w:val="0"/>
          <w:sz w:val="32"/>
          <w:szCs w:val="32"/>
        </w:rPr>
      </w:pPr>
      <w:r>
        <w:rPr>
          <w:rFonts w:hint="eastAsia" w:ascii="黑体" w:hAnsi="黑体" w:eastAsia="黑体" w:cs="黑体"/>
          <w:b/>
          <w:bCs/>
          <w:snapToGrid w:val="0"/>
          <w:kern w:val="0"/>
          <w:sz w:val="32"/>
          <w:szCs w:val="32"/>
          <w:lang w:val="en-US" w:eastAsia="zh-CN" w:bidi="ar-SA"/>
        </w:rPr>
        <w:t>五、</w:t>
      </w:r>
      <w:r>
        <w:rPr>
          <w:rFonts w:hint="eastAsia" w:ascii="黑体" w:hAnsi="黑体" w:eastAsia="黑体" w:cs="黑体"/>
          <w:b/>
          <w:bCs/>
          <w:snapToGrid w:val="0"/>
          <w:kern w:val="0"/>
          <w:sz w:val="32"/>
          <w:szCs w:val="32"/>
        </w:rPr>
        <w:t>其他需要说明的问题</w:t>
      </w:r>
    </w:p>
    <w:bookmarkEnd w:id="1"/>
    <w:bookmarkEnd w:id="2"/>
    <w:p>
      <w:pPr>
        <w:pageBreakBefore w:val="0"/>
        <w:kinsoku/>
        <w:wordWrap/>
        <w:overflowPunct w:val="0"/>
        <w:topLinePunct w:val="0"/>
        <w:autoSpaceDE/>
        <w:autoSpaceDN/>
        <w:bidi w:val="0"/>
        <w:adjustRightInd w:val="0"/>
        <w:snapToGrid w:val="0"/>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治理类乡镇项目是一项利国利民的惠民工程，解决了广大居民群众身边的问题，得到了一致好评，通过更多渠道和方式进行宣传本项目的效果和意义，使全民参与到整治提升中来，真正达到全民共建美好家园。在项目执行过程中随时总结经验、不断改进、完善提高工作和管理水平，进一步增强居民百姓的获得感和幸福指数。</w:t>
      </w:r>
    </w:p>
    <w:p>
      <w:pPr>
        <w:pageBreakBefore w:val="0"/>
        <w:kinsoku/>
        <w:wordWrap/>
        <w:topLinePunct w:val="0"/>
        <w:autoSpaceDE/>
        <w:autoSpaceDN/>
        <w:bidi w:val="0"/>
        <w:spacing w:line="560" w:lineRule="exact"/>
        <w:jc w:val="both"/>
      </w:pPr>
    </w:p>
    <w:p>
      <w:pPr>
        <w:pageBreakBefore w:val="0"/>
        <w:kinsoku/>
        <w:wordWrap/>
        <w:topLinePunct w:val="0"/>
        <w:autoSpaceDE/>
        <w:autoSpaceDN/>
        <w:bidi w:val="0"/>
        <w:spacing w:line="560" w:lineRule="exact"/>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94AEC0-041A-4E32-90E0-834AA175A9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7321213-7BB7-4F04-97C7-F1577B29E4EF}"/>
  </w:font>
  <w:font w:name="方正小标宋简体">
    <w:panose1 w:val="02000000000000000000"/>
    <w:charset w:val="86"/>
    <w:family w:val="auto"/>
    <w:pitch w:val="default"/>
    <w:sig w:usb0="00000000" w:usb1="00000000" w:usb2="00000000" w:usb3="00000000" w:csb0="00000000" w:csb1="00000000"/>
    <w:embedRegular r:id="rId3" w:fontKey="{460CF416-B2B1-4E88-91CE-4DDB35D2B40F}"/>
  </w:font>
  <w:font w:name="楷体">
    <w:panose1 w:val="02010609060101010101"/>
    <w:charset w:val="86"/>
    <w:family w:val="auto"/>
    <w:pitch w:val="default"/>
    <w:sig w:usb0="800002BF" w:usb1="38CF7CFA" w:usb2="00000016" w:usb3="00000000" w:csb0="00040001" w:csb1="00000000"/>
    <w:embedRegular r:id="rId4" w:fontKey="{FD5CE6CC-678B-4DB2-B391-F723EBDDA230}"/>
  </w:font>
  <w:font w:name="仿宋_GB2312">
    <w:panose1 w:val="02010609030101010101"/>
    <w:charset w:val="86"/>
    <w:family w:val="auto"/>
    <w:pitch w:val="default"/>
    <w:sig w:usb0="00000000" w:usb1="00000000" w:usb2="00000000" w:usb3="00000000" w:csb0="00000000" w:csb1="00000000"/>
    <w:embedRegular r:id="rId5" w:fontKey="{36E7091F-0212-443E-B1FF-7379263C4257}"/>
  </w:font>
  <w:font w:name="方正仿宋_GB2312">
    <w:panose1 w:val="02000000000000000000"/>
    <w:charset w:val="86"/>
    <w:family w:val="auto"/>
    <w:pitch w:val="default"/>
    <w:sig w:usb0="00000000" w:usb1="00000000" w:usb2="00000000" w:usb3="00000000" w:csb0="00000000" w:csb1="00000000"/>
    <w:embedRegular r:id="rId6" w:fontKey="{AC62B704-C4AC-4F9A-B7AA-C206A314B064}"/>
  </w:font>
  <w:font w:name="方正楷体_GB2312">
    <w:panose1 w:val="02000000000000000000"/>
    <w:charset w:val="86"/>
    <w:family w:val="auto"/>
    <w:pitch w:val="default"/>
    <w:sig w:usb0="00000000" w:usb1="00000000" w:usb2="00000000" w:usb3="00000000" w:csb0="00000000" w:csb1="00000000"/>
    <w:embedRegular r:id="rId7" w:fontKey="{DA765279-BD1C-45F2-9620-2205D0007992}"/>
  </w:font>
  <w:font w:name="楷体_GB2312">
    <w:altName w:val="楷体"/>
    <w:panose1 w:val="02010609030101010101"/>
    <w:charset w:val="86"/>
    <w:family w:val="modern"/>
    <w:pitch w:val="default"/>
    <w:sig w:usb0="00000000" w:usb1="00000000" w:usb2="00000000" w:usb3="00000000" w:csb0="00040000" w:csb1="00000000"/>
    <w:embedRegular r:id="rId8" w:fontKey="{B72C2FEB-AB21-4289-B340-CD9FCBC2EC6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967F0"/>
    <w:rsid w:val="02551A35"/>
    <w:rsid w:val="0B880226"/>
    <w:rsid w:val="0C945850"/>
    <w:rsid w:val="13482EF0"/>
    <w:rsid w:val="15EE4223"/>
    <w:rsid w:val="184466F1"/>
    <w:rsid w:val="19E35721"/>
    <w:rsid w:val="1B917B2A"/>
    <w:rsid w:val="29F342D4"/>
    <w:rsid w:val="2B617885"/>
    <w:rsid w:val="2E0A5F5D"/>
    <w:rsid w:val="3DA229B9"/>
    <w:rsid w:val="460A3AC5"/>
    <w:rsid w:val="49425710"/>
    <w:rsid w:val="4FD35314"/>
    <w:rsid w:val="50EE68AA"/>
    <w:rsid w:val="5204730B"/>
    <w:rsid w:val="55691895"/>
    <w:rsid w:val="5EC96260"/>
    <w:rsid w:val="622814F0"/>
    <w:rsid w:val="646C600B"/>
    <w:rsid w:val="7C3A742B"/>
    <w:rsid w:val="7D2021D5"/>
    <w:rsid w:val="7D594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rFonts w:eastAsia="黑体"/>
      <w:bCs/>
      <w:kern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5">
    <w:name w:val="index 9"/>
    <w:basedOn w:val="1"/>
    <w:next w:val="1"/>
    <w:qFormat/>
    <w:uiPriority w:val="0"/>
    <w:pPr>
      <w:ind w:left="3360"/>
      <w:jc w:val="left"/>
    </w:pPr>
    <w:rPr>
      <w:rFonts w:ascii="Calibri" w:hAnsi="Calibri" w:eastAsia="宋体" w:cs="Times New Roman"/>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4759</Words>
  <Characters>5097</Characters>
  <Lines>0</Lines>
  <Paragraphs>0</Paragraphs>
  <TotalTime>21</TotalTime>
  <ScaleCrop>false</ScaleCrop>
  <LinksUpToDate>false</LinksUpToDate>
  <CharactersWithSpaces>5102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2025-02-18T07:01:00Z</dcterms:created>
  <dc:creator>Admin</dc:creator>
  <cp:lastModifiedBy>vip</cp:lastModifiedBy>
  <cp:lastPrinted>2025-02-20T07:04:00Z</cp:lastPrinted>
  <dcterms:modified xsi:type="dcterms:W3CDTF">2025-09-10T03:36:34Z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KSOTemplateDocerSaveRecord">
    <vt:lpwstr>eyJoZGlkIjoiNjQ4OGVjZjJiZWI4NzY3MjAzYjEzZTNkMGY3NjgyYTkiLCJ1c2VySWQiOiIzNTQxMDMxMDcifQ==</vt:lpwstr>
  </property>
  <property fmtid="{D5CDD505-2E9C-101B-9397-08002B2CF9AE}" pid="4" name="ICV">
    <vt:lpwstr>0A204186741943F7A91F5977F21AB288_12</vt:lpwstr>
  </property>
</Properties>
</file>