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556"/>
        <w:gridCol w:w="1397"/>
        <w:gridCol w:w="456"/>
        <w:gridCol w:w="1282"/>
        <w:gridCol w:w="211"/>
        <w:gridCol w:w="1051"/>
        <w:gridCol w:w="421"/>
        <w:gridCol w:w="123"/>
        <w:gridCol w:w="662"/>
        <w:gridCol w:w="645"/>
        <w:gridCol w:w="210"/>
        <w:gridCol w:w="378"/>
        <w:gridCol w:w="463"/>
        <w:gridCol w:w="19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92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25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91" w:type="dxa"/>
            <w:gridSpan w:val="14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2024年小微项目惠民生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13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台湖镇人民政府</w:t>
            </w:r>
          </w:p>
        </w:tc>
        <w:tc>
          <w:tcPr>
            <w:tcW w:w="1806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850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台湖镇人民政府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134" w:type="dxa"/>
            <w:gridSpan w:val="2"/>
            <w:vMerge w:val="restart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1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193.2947万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193.2947万</w:t>
            </w:r>
          </w:p>
        </w:tc>
        <w:tc>
          <w:tcPr>
            <w:tcW w:w="120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193.2947万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193.2947万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193.2947万</w:t>
            </w:r>
          </w:p>
        </w:tc>
        <w:tc>
          <w:tcPr>
            <w:tcW w:w="120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193.2947万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8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34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8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7014" w:type="dxa"/>
            <w:gridSpan w:val="1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33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3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1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6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60" w:firstLineChars="20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围绕“12345”市民服务热线反映的高频问题及群众诉求强烈的事项，强化城市治理能力，解决群众实际困难。台湖镇利用“小微项目惠民生”工程项目资金，优先解决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群众反映强烈的重点民生诉求项目。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通过微修补、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微利用、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微改造、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微更新、微治理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等事项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，解决群众微难题</w:t>
            </w: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shd w:val="clear" w:color="auto" w:fill="auto"/>
                <w:lang w:val="en-US" w:eastAsia="zh-CN"/>
              </w:rPr>
              <w:t>，进一步提升基层治理能力，提高12345“响应率”、“解决率”、“满意率”水平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2024年第一批和第二批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小微项目惠民生工程共6个，其中老旧小区提升项目改造1个、农村基础设施提升类项目4个、公共服务设施类项目1个。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达成项目总预期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5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97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建设（维护、修缮）工程项目数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公共服务设施类项目数量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：老旧小区改造提升类项目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农村基础设施提升类项目数量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项目验收情况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验收合格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验收合格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支付合同首付款时间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2024年12月31日前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2024年12月31日前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各项目入场时间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2024年11月15日前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2024年11月15日前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指标3：</w:t>
            </w: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完成签订合同时间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年11月30日前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年11月30日前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各项目总投资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各项目总投资≤50万元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各项目总投资≤50万元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提升居民生活质量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tabs>
                <w:tab w:val="left" w:pos="305"/>
              </w:tabs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提高居民出行条件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指标3：减少居民楼顶漏水现象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提升环境安全舒适度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减少居民投诉量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基本达到预期效果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7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指标1：主管部门满意度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满意度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bidi="ar"/>
              </w:rPr>
              <w:t>100%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满意度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bidi="ar"/>
              </w:rPr>
              <w:t>100%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49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益群体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满意度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bidi="ar"/>
              </w:rPr>
              <w:t>80%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以上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满意度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bidi="ar"/>
              </w:rPr>
              <w:t>80%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bidi="ar"/>
              </w:rPr>
              <w:t>以上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82" w:type="dxa"/>
            <w:gridSpan w:val="1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2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outlineLvl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94E4A"/>
    <w:rsid w:val="095E5D5B"/>
    <w:rsid w:val="0FF22422"/>
    <w:rsid w:val="10277238"/>
    <w:rsid w:val="20B16579"/>
    <w:rsid w:val="23C87ED5"/>
    <w:rsid w:val="2414043F"/>
    <w:rsid w:val="25A246E2"/>
    <w:rsid w:val="2BED6BD3"/>
    <w:rsid w:val="3821397B"/>
    <w:rsid w:val="414032D5"/>
    <w:rsid w:val="4F4A23D4"/>
    <w:rsid w:val="52C27ACE"/>
    <w:rsid w:val="5FC52FE9"/>
    <w:rsid w:val="66ED0F5A"/>
    <w:rsid w:val="723D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qFormat/>
    <w:uiPriority w:val="0"/>
    <w:pPr>
      <w:widowControl w:val="0"/>
      <w:tabs>
        <w:tab w:val="left" w:pos="8610"/>
      </w:tabs>
      <w:ind w:left="1600" w:leftChars="1600" w:firstLine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1654</Words>
  <Characters>1858</Characters>
  <Lines>0</Lines>
  <Paragraphs>0</Paragraphs>
  <TotalTime>12</TotalTime>
  <ScaleCrop>false</ScaleCrop>
  <LinksUpToDate>false</LinksUpToDate>
  <CharactersWithSpaces>1867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2025-02-18T07:01:00Z</dcterms:created>
  <dc:creator>Admin</dc:creator>
  <cp:lastModifiedBy>vip</cp:lastModifiedBy>
  <cp:lastPrinted>2025-02-19T03:13:00Z</cp:lastPrinted>
  <dcterms:modified xsi:type="dcterms:W3CDTF">2025-09-19T03:05:45Z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eyJoZGlkIjoiNjQ4OGVjZjJiZWI4NzY3MjAzYjEzZTNkMGY3NjgyYTkiLCJ1c2VySWQiOiIzNTQxMDMxMDcifQ==</vt:lpwstr>
  </property>
  <property fmtid="{D5CDD505-2E9C-101B-9397-08002B2CF9AE}" pid="4" name="ICV">
    <vt:lpwstr>4F2C1622B5C24450A849668CC91E8679_12</vt:lpwstr>
  </property>
</Properties>
</file>