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hint="eastAsia" w:ascii="宋体" w:hAnsi="宋体" w:eastAsia="宋体" w:cs="宋体"/>
                <w:b/>
                <w:bCs/>
                <w:color w:val="auto"/>
                <w:kern w:val="0"/>
                <w:sz w:val="32"/>
                <w:szCs w:val="32"/>
                <w:lang w:val="en-US" w:eastAsia="zh-CN"/>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default" w:ascii="宋体" w:hAnsi="宋体" w:cs="宋体"/>
                <w:color w:val="auto"/>
                <w:kern w:val="0"/>
                <w:sz w:val="22"/>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统战部--民宗侨办工作经费项目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rPr>
              <w:t>0.273</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rPr>
              <w:t>0.273</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default" w:ascii="宋体" w:hAnsi="宋体" w:cs="宋体"/>
                <w:color w:val="auto"/>
                <w:kern w:val="0"/>
                <w:sz w:val="18"/>
                <w:szCs w:val="18"/>
              </w:rPr>
              <w:t>100</w:t>
            </w: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rPr>
              <w:t>0.273</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rPr>
              <w:t>0.273</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default" w:ascii="宋体" w:hAnsi="宋体" w:cs="宋体"/>
                <w:color w:val="auto"/>
                <w:kern w:val="0"/>
                <w:sz w:val="18"/>
                <w:szCs w:val="18"/>
              </w:rPr>
              <w:t>100</w:t>
            </w: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85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ascii="宋体" w:hAnsi="宋体" w:cs="宋体"/>
                <w:color w:val="auto"/>
                <w:kern w:val="0"/>
                <w:sz w:val="18"/>
                <w:szCs w:val="18"/>
              </w:rPr>
              <w:t>按照区委统战部相关工作部署，做好少数民族低保群众补助发放工作</w:t>
            </w:r>
            <w:r>
              <w:rPr>
                <w:rFonts w:hint="eastAsia" w:ascii="宋体" w:hAnsi="宋体" w:cs="宋体"/>
                <w:color w:val="auto"/>
                <w:kern w:val="0"/>
                <w:sz w:val="18"/>
                <w:szCs w:val="18"/>
              </w:rPr>
              <w:t>。</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rPr>
              <w:t>已将相关资金补助</w:t>
            </w:r>
            <w:r>
              <w:rPr>
                <w:rFonts w:hint="eastAsia" w:ascii="宋体" w:hAnsi="宋体" w:cs="宋体"/>
                <w:color w:val="auto"/>
                <w:kern w:val="0"/>
                <w:sz w:val="18"/>
                <w:szCs w:val="18"/>
              </w:rPr>
              <w:t>统筹发放</w:t>
            </w:r>
            <w:r>
              <w:rPr>
                <w:rFonts w:hint="default" w:ascii="宋体" w:hAnsi="宋体" w:cs="宋体"/>
                <w:color w:val="auto"/>
                <w:kern w:val="0"/>
                <w:sz w:val="18"/>
                <w:szCs w:val="18"/>
              </w:rPr>
              <w:t>至</w:t>
            </w:r>
            <w:r>
              <w:rPr>
                <w:rFonts w:hint="eastAsia" w:ascii="宋体" w:hAnsi="宋体" w:cs="宋体"/>
                <w:color w:val="auto"/>
                <w:kern w:val="0"/>
                <w:sz w:val="18"/>
                <w:szCs w:val="18"/>
              </w:rPr>
              <w:t>符合补助标准</w:t>
            </w:r>
            <w:r>
              <w:rPr>
                <w:rFonts w:hint="default" w:ascii="宋体" w:hAnsi="宋体" w:cs="宋体"/>
                <w:color w:val="auto"/>
                <w:kern w:val="0"/>
                <w:sz w:val="18"/>
                <w:szCs w:val="18"/>
              </w:rPr>
              <w:t>的辖区居民</w:t>
            </w: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发放人数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7人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7人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30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资金全部发放</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2730元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2730元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2</w:t>
            </w:r>
            <w:r>
              <w:rPr>
                <w:rFonts w:hint="default" w:ascii="宋体" w:hAnsi="宋体" w:cs="宋体"/>
                <w:color w:val="auto"/>
                <w:kern w:val="0"/>
                <w:sz w:val="18"/>
                <w:szCs w:val="18"/>
              </w:rPr>
              <w:t>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eastAsia" w:ascii="宋体" w:hAnsi="宋体" w:cs="宋体"/>
                <w:color w:val="auto"/>
                <w:kern w:val="0"/>
                <w:sz w:val="18"/>
                <w:szCs w:val="18"/>
                <w:lang w:val="en-US" w:eastAsia="zh-CN"/>
              </w:rPr>
              <w:t>2</w:t>
            </w:r>
            <w:r>
              <w:rPr>
                <w:rFonts w:hint="default" w:ascii="宋体" w:hAnsi="宋体" w:cs="宋体"/>
                <w:color w:val="auto"/>
                <w:kern w:val="0"/>
                <w:sz w:val="18"/>
                <w:szCs w:val="18"/>
              </w:rPr>
              <w:t>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提升辖区民族工作水平</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ascii="宋体" w:hAnsi="宋体" w:cs="宋体"/>
                <w:color w:val="auto"/>
                <w:kern w:val="0"/>
                <w:sz w:val="18"/>
                <w:szCs w:val="18"/>
              </w:rPr>
              <w:t>进一步提升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进一步提升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符合标准</w:t>
            </w:r>
            <w:r>
              <w:rPr>
                <w:rFonts w:hint="eastAsia" w:ascii="宋体" w:hAnsi="宋体" w:cs="宋体"/>
                <w:color w:val="auto"/>
                <w:kern w:val="0"/>
                <w:sz w:val="18"/>
                <w:szCs w:val="18"/>
                <w:lang w:eastAsia="zh-CN"/>
              </w:rPr>
              <w:t>，</w:t>
            </w:r>
            <w:r>
              <w:rPr>
                <w:rFonts w:hint="default" w:ascii="宋体" w:hAnsi="宋体" w:cs="宋体"/>
                <w:color w:val="auto"/>
                <w:kern w:val="0"/>
                <w:sz w:val="18"/>
                <w:szCs w:val="18"/>
              </w:rPr>
              <w:t>居民满意情况</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rPr>
            </w:pPr>
            <w:r>
              <w:rPr>
                <w:rFonts w:hint="default" w:ascii="宋体" w:hAnsi="宋体" w:cs="宋体"/>
                <w:color w:val="auto"/>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
      <w:pPr>
        <w:pStyle w:val="2"/>
      </w:pPr>
    </w:p>
    <w:p/>
    <w:p>
      <w:pPr>
        <w:pStyle w:val="2"/>
      </w:pPr>
    </w:p>
    <w:p/>
    <w:p>
      <w:pPr>
        <w:pStyle w:val="2"/>
      </w:pPr>
    </w:p>
    <w:p/>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18"/>
        <w:gridCol w:w="353"/>
        <w:gridCol w:w="247"/>
        <w:gridCol w:w="589"/>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公益性电影放映工程费用</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1.512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1.512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1.512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1.512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为不断丰富广大群众精神文化生活，</w:t>
            </w:r>
            <w:r>
              <w:rPr>
                <w:rFonts w:ascii="宋体" w:hAnsi="宋体" w:cs="宋体"/>
                <w:color w:val="auto"/>
                <w:kern w:val="0"/>
                <w:sz w:val="18"/>
                <w:szCs w:val="18"/>
                <w:lang w:val="en-US" w:eastAsia="zh-CN"/>
              </w:rPr>
              <w:t>根据市委、区委宣传部关于做好全市</w:t>
            </w:r>
            <w:r>
              <w:rPr>
                <w:rFonts w:hint="eastAsia" w:ascii="宋体" w:hAnsi="宋体" w:cs="宋体"/>
                <w:color w:val="auto"/>
                <w:kern w:val="0"/>
                <w:sz w:val="18"/>
                <w:szCs w:val="18"/>
                <w:lang w:val="en-US" w:eastAsia="zh-CN"/>
              </w:rPr>
              <w:t>2024年度</w:t>
            </w:r>
            <w:r>
              <w:rPr>
                <w:rFonts w:ascii="宋体" w:hAnsi="宋体" w:cs="宋体"/>
                <w:color w:val="auto"/>
                <w:kern w:val="0"/>
                <w:sz w:val="18"/>
                <w:szCs w:val="18"/>
                <w:lang w:val="en-US" w:eastAsia="zh-CN"/>
              </w:rPr>
              <w:t>电影公益放映工作的相关要求，杨庄街道内</w:t>
            </w:r>
            <w:r>
              <w:rPr>
                <w:rFonts w:hint="eastAsia" w:ascii="宋体" w:hAnsi="宋体" w:cs="宋体"/>
                <w:color w:val="auto"/>
                <w:kern w:val="0"/>
                <w:sz w:val="18"/>
                <w:szCs w:val="18"/>
                <w:lang w:val="en-US" w:eastAsia="zh-CN"/>
              </w:rPr>
              <w:t>6</w:t>
            </w:r>
            <w:r>
              <w:rPr>
                <w:rFonts w:ascii="宋体" w:hAnsi="宋体" w:cs="宋体"/>
                <w:color w:val="auto"/>
                <w:kern w:val="0"/>
                <w:sz w:val="18"/>
                <w:szCs w:val="18"/>
                <w:lang w:val="en-US" w:eastAsia="zh-CN"/>
              </w:rPr>
              <w:t>个</w:t>
            </w:r>
            <w:r>
              <w:rPr>
                <w:rFonts w:hint="eastAsia" w:ascii="宋体" w:hAnsi="宋体" w:cs="宋体"/>
                <w:color w:val="auto"/>
                <w:kern w:val="0"/>
                <w:sz w:val="18"/>
                <w:szCs w:val="18"/>
                <w:lang w:val="en-US" w:eastAsia="zh-CN"/>
              </w:rPr>
              <w:t>放映</w:t>
            </w:r>
            <w:r>
              <w:rPr>
                <w:rFonts w:ascii="宋体" w:hAnsi="宋体" w:cs="宋体"/>
                <w:color w:val="auto"/>
                <w:kern w:val="0"/>
                <w:sz w:val="18"/>
                <w:szCs w:val="18"/>
                <w:lang w:val="en-US" w:eastAsia="zh-CN"/>
              </w:rPr>
              <w:t>点位</w:t>
            </w:r>
            <w:r>
              <w:rPr>
                <w:rFonts w:hint="eastAsia" w:ascii="宋体" w:hAnsi="宋体" w:cs="宋体"/>
                <w:color w:val="auto"/>
                <w:kern w:val="0"/>
                <w:sz w:val="18"/>
                <w:szCs w:val="18"/>
                <w:lang w:val="en-US" w:eastAsia="zh-CN"/>
              </w:rPr>
              <w:t>需完成216场次的</w:t>
            </w:r>
            <w:r>
              <w:rPr>
                <w:rFonts w:ascii="宋体" w:hAnsi="宋体" w:cs="宋体"/>
                <w:color w:val="auto"/>
                <w:kern w:val="0"/>
                <w:sz w:val="18"/>
                <w:szCs w:val="18"/>
                <w:lang w:val="en-US" w:eastAsia="zh-CN"/>
              </w:rPr>
              <w:t>公益</w:t>
            </w:r>
            <w:r>
              <w:rPr>
                <w:rFonts w:hint="eastAsia" w:ascii="宋体" w:hAnsi="宋体" w:cs="宋体"/>
                <w:color w:val="auto"/>
                <w:kern w:val="0"/>
                <w:sz w:val="18"/>
                <w:szCs w:val="18"/>
                <w:lang w:val="en-US" w:eastAsia="zh-CN"/>
              </w:rPr>
              <w:t>性</w:t>
            </w:r>
            <w:r>
              <w:rPr>
                <w:rFonts w:ascii="宋体" w:hAnsi="宋体" w:cs="宋体"/>
                <w:color w:val="auto"/>
                <w:kern w:val="0"/>
                <w:sz w:val="18"/>
                <w:szCs w:val="18"/>
                <w:lang w:val="en-US" w:eastAsia="zh-CN"/>
              </w:rPr>
              <w:t>电影放映</w:t>
            </w:r>
            <w:r>
              <w:rPr>
                <w:rFonts w:hint="eastAsia" w:ascii="宋体" w:hAnsi="宋体" w:cs="宋体"/>
                <w:color w:val="auto"/>
                <w:kern w:val="0"/>
                <w:sz w:val="18"/>
                <w:szCs w:val="18"/>
                <w:lang w:val="en-US" w:eastAsia="zh-CN"/>
              </w:rPr>
              <w:t>，并为放映人员发放补贴（每场次70元）</w:t>
            </w:r>
            <w:r>
              <w:rPr>
                <w:rFonts w:ascii="宋体" w:hAnsi="宋体" w:cs="宋体"/>
                <w:color w:val="auto"/>
                <w:kern w:val="0"/>
                <w:sz w:val="18"/>
                <w:szCs w:val="18"/>
                <w:lang w:val="en-US" w:eastAsia="zh-CN"/>
              </w:rPr>
              <w:t>。</w:t>
            </w:r>
          </w:p>
          <w:p>
            <w:pPr>
              <w:widowControl/>
              <w:spacing w:line="240" w:lineRule="exact"/>
              <w:jc w:val="left"/>
              <w:rPr>
                <w:rFonts w:ascii="宋体" w:hAnsi="宋体" w:cs="宋体"/>
                <w:color w:val="auto"/>
                <w:kern w:val="0"/>
                <w:sz w:val="18"/>
                <w:szCs w:val="18"/>
              </w:rPr>
            </w:pP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ascii="宋体" w:hAnsi="宋体" w:cs="宋体"/>
                <w:color w:val="auto"/>
                <w:kern w:val="0"/>
                <w:sz w:val="18"/>
                <w:szCs w:val="18"/>
                <w:lang w:val="en-US" w:eastAsia="zh-CN"/>
              </w:rPr>
              <w:t>根据北京市电影公益放映补贴标准，每场固定影厅放映补贴70元，根据各放映点位实际放映情况，如实发放补贴。</w:t>
            </w:r>
          </w:p>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覆盖社区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6个</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6个</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每个社区完成公益性电影放映场次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216场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216场</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符合《杨庄街道数字电影公益场次补贴专项资金使用管理制度》要求</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符合《</w:t>
            </w:r>
            <w:r>
              <w:rPr>
                <w:rFonts w:hint="eastAsia" w:ascii="宋体" w:hAnsi="宋体" w:cs="宋体"/>
                <w:color w:val="auto"/>
                <w:kern w:val="0"/>
                <w:sz w:val="18"/>
                <w:szCs w:val="18"/>
                <w:lang w:val="en-US" w:eastAsia="zh-CN"/>
              </w:rPr>
              <w:t>杨庄街道数字电影公益放映工作管理制度</w:t>
            </w:r>
            <w:r>
              <w:rPr>
                <w:rFonts w:hint="eastAsia" w:ascii="宋体" w:hAnsi="宋体" w:cs="宋体"/>
                <w:color w:val="auto"/>
                <w:kern w:val="0"/>
                <w:sz w:val="18"/>
                <w:szCs w:val="18"/>
                <w:lang w:eastAsia="zh-CN"/>
              </w:rPr>
              <w:t>》要求</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2024年12月底前完成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2024年12月底前完成</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20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预算控制金额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小于等于1.512万元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1.512万元</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通过公益电影放映，</w:t>
            </w:r>
            <w:r>
              <w:rPr>
                <w:rFonts w:hint="eastAsia" w:ascii="宋体" w:hAnsi="宋体" w:cs="宋体"/>
                <w:color w:val="auto"/>
                <w:kern w:val="0"/>
                <w:sz w:val="18"/>
                <w:szCs w:val="18"/>
                <w:lang w:val="en-US" w:eastAsia="zh-CN"/>
              </w:rPr>
              <w:t>丰富广大群众精神文化生活</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lang w:eastAsia="zh-CN"/>
              </w:rPr>
              <w:t>进一步</w:t>
            </w:r>
            <w:r>
              <w:rPr>
                <w:rFonts w:hint="eastAsia" w:ascii="宋体" w:hAnsi="宋体" w:cs="宋体"/>
                <w:color w:val="auto"/>
                <w:kern w:val="0"/>
                <w:sz w:val="18"/>
                <w:szCs w:val="18"/>
                <w:lang w:val="en-US" w:eastAsia="zh-CN"/>
              </w:rPr>
              <w:t>丰富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lang w:eastAsia="zh-CN"/>
              </w:rPr>
              <w:t>进一步</w:t>
            </w:r>
            <w:r>
              <w:rPr>
                <w:rFonts w:hint="eastAsia" w:ascii="宋体" w:hAnsi="宋体" w:cs="宋体"/>
                <w:color w:val="auto"/>
                <w:kern w:val="0"/>
                <w:sz w:val="18"/>
                <w:szCs w:val="18"/>
                <w:lang w:val="en-US" w:eastAsia="zh-CN"/>
              </w:rPr>
              <w:t>丰富</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服务对象满意度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2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240"/>
        <w:gridCol w:w="596"/>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综合协管员项目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619.11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619.11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619.11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619.11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做好街道综合协管员的薪酬福利保障。</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全年合理使用资金，完成薪酬福利的发放。</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不超</w:t>
            </w:r>
            <w:r>
              <w:rPr>
                <w:rFonts w:hint="eastAsia" w:ascii="宋体" w:hAnsi="宋体" w:cs="宋体"/>
                <w:color w:val="auto"/>
                <w:kern w:val="0"/>
                <w:sz w:val="18"/>
                <w:szCs w:val="18"/>
                <w:lang w:val="en-US" w:eastAsia="zh-CN"/>
              </w:rPr>
              <w:t>69人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无用工纠纷</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无纠纷</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无纠纷</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按时支付薪酬</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每月</w:t>
            </w:r>
            <w:r>
              <w:rPr>
                <w:rFonts w:hint="eastAsia" w:ascii="宋体" w:hAnsi="宋体" w:cs="宋体"/>
                <w:color w:val="auto"/>
                <w:kern w:val="0"/>
                <w:sz w:val="18"/>
                <w:szCs w:val="18"/>
                <w:lang w:val="en-US" w:eastAsia="zh-CN"/>
              </w:rPr>
              <w:t>5日</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每月</w:t>
            </w:r>
            <w:r>
              <w:rPr>
                <w:rFonts w:hint="eastAsia" w:ascii="宋体" w:hAnsi="宋体" w:cs="宋体"/>
                <w:color w:val="auto"/>
                <w:kern w:val="0"/>
                <w:sz w:val="18"/>
                <w:szCs w:val="18"/>
                <w:lang w:val="en-US" w:eastAsia="zh-CN"/>
              </w:rPr>
              <w:t>5日</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全年资金支出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690万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619.11万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每人管理费用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960元每人每年</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960元每人每年</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用工管理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无投诉</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无投诉</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离职率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15</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年度考核</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称职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100%称职</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基层党组织</w:t>
            </w:r>
            <w:r>
              <w:rPr>
                <w:rFonts w:hint="eastAsia" w:ascii="宋体" w:hAnsi="宋体" w:cs="宋体"/>
                <w:color w:val="auto"/>
                <w:kern w:val="0"/>
                <w:sz w:val="18"/>
                <w:szCs w:val="18"/>
                <w:lang w:eastAsia="zh-CN"/>
              </w:rPr>
              <w:t>扶持资金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rPr>
              <w:t>在</w:t>
            </w:r>
            <w:r>
              <w:rPr>
                <w:rFonts w:hint="eastAsia" w:ascii="宋体" w:hAnsi="宋体" w:cs="宋体"/>
                <w:color w:val="auto"/>
                <w:kern w:val="0"/>
                <w:sz w:val="18"/>
                <w:szCs w:val="18"/>
                <w:lang w:eastAsia="zh-CN"/>
              </w:rPr>
              <w:t>党员能力培塑、教育管理</w:t>
            </w:r>
            <w:r>
              <w:rPr>
                <w:rFonts w:hint="eastAsia" w:ascii="宋体" w:hAnsi="宋体" w:cs="宋体"/>
                <w:color w:val="auto"/>
                <w:kern w:val="0"/>
                <w:sz w:val="18"/>
                <w:szCs w:val="18"/>
              </w:rPr>
              <w:t>等方面给予资金扶持，从而更好地发挥基层党组织联系群众、服务群众的作用。</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坚持服务群众导向，充分发挥党建引领作用，积极</w:t>
            </w:r>
            <w:r>
              <w:rPr>
                <w:rFonts w:hint="eastAsia" w:ascii="宋体" w:hAnsi="宋体" w:cs="宋体"/>
                <w:color w:val="auto"/>
                <w:kern w:val="0"/>
                <w:sz w:val="18"/>
                <w:szCs w:val="18"/>
                <w:lang w:eastAsia="zh-CN"/>
              </w:rPr>
              <w:t>开展“两委”培训、电教片拍摄等活动，切实增强基层党组织政治功能、组织功能，不断提高为民办实事、解难题水平。</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6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覆盖社区、机关党总支</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19个</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19个</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指标2：服务类项目管理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按照合同</w:t>
            </w:r>
            <w:r>
              <w:rPr>
                <w:rFonts w:hint="eastAsia" w:ascii="宋体" w:hAnsi="宋体" w:cs="宋体"/>
                <w:color w:val="auto"/>
                <w:kern w:val="0"/>
                <w:sz w:val="18"/>
                <w:szCs w:val="18"/>
                <w:lang w:eastAsia="zh-CN"/>
              </w:rPr>
              <w:t>约定</w:t>
            </w:r>
            <w:r>
              <w:rPr>
                <w:rFonts w:hint="eastAsia" w:ascii="宋体" w:hAnsi="宋体" w:cs="宋体"/>
                <w:color w:val="auto"/>
                <w:kern w:val="0"/>
                <w:sz w:val="18"/>
                <w:szCs w:val="18"/>
              </w:rPr>
              <w:t>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按照合同</w:t>
            </w:r>
            <w:r>
              <w:rPr>
                <w:rFonts w:hint="eastAsia" w:ascii="宋体" w:hAnsi="宋体" w:cs="宋体"/>
                <w:color w:val="auto"/>
                <w:kern w:val="0"/>
                <w:sz w:val="18"/>
                <w:szCs w:val="18"/>
                <w:lang w:eastAsia="zh-CN"/>
              </w:rPr>
              <w:t>约定完成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指标1：按时间完成</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11月底之前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11月底之前</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指标1：项目投入</w:t>
            </w:r>
            <w:r>
              <w:rPr>
                <w:rFonts w:hint="eastAsia" w:ascii="宋体" w:hAnsi="宋体" w:cs="宋体"/>
                <w:color w:val="auto"/>
                <w:kern w:val="0"/>
                <w:sz w:val="18"/>
                <w:szCs w:val="18"/>
                <w:lang w:eastAsia="zh-CN"/>
              </w:rPr>
              <w:t>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小于等于20万元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指标1：普遍得到社区</w:t>
            </w:r>
            <w:r>
              <w:rPr>
                <w:rFonts w:hint="eastAsia" w:ascii="宋体" w:hAnsi="宋体" w:cs="宋体"/>
                <w:color w:val="auto"/>
                <w:kern w:val="0"/>
                <w:sz w:val="18"/>
                <w:szCs w:val="18"/>
                <w:lang w:eastAsia="zh-CN"/>
              </w:rPr>
              <w:t>、机关</w:t>
            </w:r>
            <w:r>
              <w:rPr>
                <w:rFonts w:hint="eastAsia" w:ascii="宋体" w:hAnsi="宋体" w:cs="宋体"/>
                <w:color w:val="auto"/>
                <w:kern w:val="0"/>
                <w:sz w:val="18"/>
                <w:szCs w:val="18"/>
              </w:rPr>
              <w:t>党员及群众认可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9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：持续性为民服务</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49"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社区整体形象及社工工作能力</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持续提高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持续提高</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2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指标1：满意度</w:t>
            </w:r>
            <w:r>
              <w:rPr>
                <w:rFonts w:hint="eastAsia" w:ascii="宋体" w:hAnsi="宋体" w:cs="宋体"/>
                <w:color w:val="auto"/>
                <w:kern w:val="0"/>
                <w:sz w:val="18"/>
                <w:szCs w:val="18"/>
                <w:lang w:val="en-US" w:eastAsia="zh-CN"/>
              </w:rPr>
              <w:t>90</w:t>
            </w:r>
            <w:r>
              <w:rPr>
                <w:rFonts w:hint="eastAsia" w:ascii="宋体" w:hAnsi="宋体" w:cs="宋体"/>
                <w:color w:val="auto"/>
                <w:kern w:val="0"/>
                <w:sz w:val="18"/>
                <w:szCs w:val="18"/>
              </w:rPr>
              <w:t>%以上</w:t>
            </w:r>
          </w:p>
          <w:p>
            <w:pPr>
              <w:widowControl/>
              <w:spacing w:line="240" w:lineRule="exact"/>
              <w:jc w:val="left"/>
              <w:rPr>
                <w:rFonts w:ascii="宋体" w:hAnsi="宋体" w:cs="宋体"/>
                <w:color w:val="auto"/>
                <w:kern w:val="0"/>
                <w:sz w:val="18"/>
                <w:szCs w:val="18"/>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98%</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tbl>
      <w:tblPr>
        <w:tblStyle w:val="4"/>
        <w:tblW w:w="10680" w:type="dxa"/>
        <w:jc w:val="center"/>
        <w:tblInd w:w="0" w:type="dxa"/>
        <w:tblLayout w:type="fixed"/>
        <w:tblCellMar>
          <w:top w:w="0" w:type="dxa"/>
          <w:left w:w="108" w:type="dxa"/>
          <w:bottom w:w="0" w:type="dxa"/>
          <w:right w:w="108" w:type="dxa"/>
        </w:tblCellMar>
      </w:tblPr>
      <w:tblGrid>
        <w:gridCol w:w="687"/>
        <w:gridCol w:w="1160"/>
        <w:gridCol w:w="1296"/>
        <w:gridCol w:w="859"/>
        <w:gridCol w:w="1328"/>
        <w:gridCol w:w="202"/>
        <w:gridCol w:w="1128"/>
        <w:gridCol w:w="1011"/>
        <w:gridCol w:w="241"/>
        <w:gridCol w:w="421"/>
        <w:gridCol w:w="498"/>
        <w:gridCol w:w="164"/>
        <w:gridCol w:w="833"/>
        <w:gridCol w:w="852"/>
      </w:tblGrid>
      <w:tr>
        <w:tblPrEx>
          <w:tblLayout w:type="fixed"/>
          <w:tblCellMar>
            <w:top w:w="0" w:type="dxa"/>
            <w:left w:w="108" w:type="dxa"/>
            <w:bottom w:w="0" w:type="dxa"/>
            <w:right w:w="108" w:type="dxa"/>
          </w:tblCellMar>
        </w:tblPrEx>
        <w:trPr>
          <w:trHeight w:val="594" w:hRule="exact"/>
          <w:jc w:val="center"/>
        </w:trPr>
        <w:tc>
          <w:tcPr>
            <w:tcW w:w="10680"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418" w:hRule="atLeast"/>
          <w:jc w:val="center"/>
        </w:trPr>
        <w:tc>
          <w:tcPr>
            <w:tcW w:w="10680"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default" w:ascii="宋体" w:hAnsi="宋体" w:cs="宋体"/>
                <w:color w:val="auto"/>
                <w:kern w:val="0"/>
                <w:sz w:val="22"/>
                <w:lang w:val="en"/>
              </w:rPr>
              <w:t>202</w:t>
            </w:r>
            <w:r>
              <w:rPr>
                <w:rFonts w:hint="eastAsia" w:ascii="宋体" w:hAnsi="宋体" w:cs="宋体"/>
                <w:color w:val="auto"/>
                <w:kern w:val="0"/>
                <w:sz w:val="22"/>
                <w:lang w:val="en-US" w:eastAsia="zh"/>
              </w:rPr>
              <w:t>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390" w:hRule="exact"/>
          <w:jc w:val="center"/>
        </w:trPr>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833"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人口抽样调查</w:t>
            </w:r>
          </w:p>
        </w:tc>
      </w:tr>
      <w:tr>
        <w:tblPrEx>
          <w:tblLayout w:type="fixed"/>
          <w:tblCellMar>
            <w:top w:w="0" w:type="dxa"/>
            <w:left w:w="108" w:type="dxa"/>
            <w:bottom w:w="0" w:type="dxa"/>
            <w:right w:w="108" w:type="dxa"/>
          </w:tblCellMar>
        </w:tblPrEx>
        <w:trPr>
          <w:trHeight w:val="390" w:hRule="exact"/>
          <w:jc w:val="center"/>
        </w:trPr>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81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7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755" w:hRule="exact"/>
          <w:jc w:val="center"/>
        </w:trPr>
        <w:tc>
          <w:tcPr>
            <w:tcW w:w="18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2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年初预算数</w:t>
            </w:r>
          </w:p>
        </w:tc>
        <w:tc>
          <w:tcPr>
            <w:tcW w:w="13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3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3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4.68</w:t>
            </w: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4.68</w:t>
            </w:r>
          </w:p>
        </w:tc>
        <w:tc>
          <w:tcPr>
            <w:tcW w:w="9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3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3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4.68</w:t>
            </w: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4.68</w:t>
            </w:r>
          </w:p>
        </w:tc>
        <w:tc>
          <w:tcPr>
            <w:tcW w:w="9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32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32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390" w:hRule="exact"/>
          <w:jc w:val="center"/>
        </w:trPr>
        <w:tc>
          <w:tcPr>
            <w:tcW w:w="68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97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402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110" w:hRule="exact"/>
          <w:jc w:val="center"/>
        </w:trPr>
        <w:tc>
          <w:tcPr>
            <w:tcW w:w="68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97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直接便捷地反映辖区内人口变化情况，及时科学调整优化人口发展、教育、社会保障等政策措施，给经济社会发展规划提供科学准确的依据。</w:t>
            </w:r>
          </w:p>
        </w:tc>
        <w:tc>
          <w:tcPr>
            <w:tcW w:w="402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通过“户不漏人、人不漏项、项不填错”的工作措施，全面细致地逐户摸清每个住房单元内的人口居住情况并保证人口变动情况抽样调查质量。</w:t>
            </w:r>
          </w:p>
        </w:tc>
      </w:tr>
      <w:tr>
        <w:tblPrEx>
          <w:tblLayout w:type="fixed"/>
          <w:tblCellMar>
            <w:top w:w="0" w:type="dxa"/>
            <w:left w:w="108" w:type="dxa"/>
            <w:bottom w:w="0" w:type="dxa"/>
            <w:right w:w="108" w:type="dxa"/>
          </w:tblCellMar>
        </w:tblPrEx>
        <w:trPr>
          <w:trHeight w:val="697" w:hRule="exact"/>
          <w:jc w:val="center"/>
        </w:trPr>
        <w:tc>
          <w:tcPr>
            <w:tcW w:w="687"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116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2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615"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29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覆盖社区</w:t>
            </w:r>
            <w:r>
              <w:rPr>
                <w:rFonts w:hint="eastAsia" w:ascii="宋体" w:hAnsi="宋体" w:cs="宋体"/>
                <w:color w:val="auto"/>
                <w:kern w:val="0"/>
                <w:sz w:val="18"/>
                <w:szCs w:val="18"/>
                <w:lang w:val="en-US" w:eastAsia="zh-CN"/>
              </w:rPr>
              <w:t>/村</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16</w:t>
            </w:r>
            <w:r>
              <w:rPr>
                <w:rFonts w:hint="eastAsia" w:ascii="宋体" w:hAnsi="宋体" w:cs="宋体"/>
                <w:color w:val="auto"/>
                <w:kern w:val="0"/>
                <w:sz w:val="18"/>
                <w:szCs w:val="18"/>
                <w:lang w:val="en-US" w:eastAsia="zh-CN"/>
              </w:rPr>
              <w:t>个</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16</w:t>
            </w:r>
            <w:r>
              <w:rPr>
                <w:rFonts w:hint="eastAsia" w:ascii="宋体" w:hAnsi="宋体" w:cs="宋体"/>
                <w:color w:val="auto"/>
                <w:kern w:val="0"/>
                <w:sz w:val="18"/>
                <w:szCs w:val="18"/>
                <w:lang w:val="en-US" w:eastAsia="zh-CN"/>
              </w:rPr>
              <w:t>个</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56"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基层统计数据</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准确完整</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准确完整</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1"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w:t>
            </w:r>
            <w:r>
              <w:rPr>
                <w:rFonts w:hint="eastAsia" w:ascii="宋体" w:hAnsi="宋体" w:cs="宋体"/>
                <w:color w:val="auto"/>
                <w:kern w:val="0"/>
                <w:sz w:val="18"/>
                <w:szCs w:val="18"/>
                <w:lang w:val="en-US" w:eastAsia="zh"/>
              </w:rPr>
              <w:t>4</w:t>
            </w:r>
            <w:r>
              <w:rPr>
                <w:rFonts w:hint="eastAsia" w:ascii="宋体" w:hAnsi="宋体" w:cs="宋体"/>
                <w:color w:val="auto"/>
                <w:kern w:val="0"/>
                <w:sz w:val="18"/>
                <w:szCs w:val="18"/>
                <w:lang w:val="en-US" w:eastAsia="zh-CN"/>
              </w:rPr>
              <w:t>年11月底之前</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w:t>
            </w:r>
            <w:r>
              <w:rPr>
                <w:rFonts w:hint="eastAsia" w:ascii="宋体" w:hAnsi="宋体" w:cs="宋体"/>
                <w:color w:val="auto"/>
                <w:kern w:val="0"/>
                <w:sz w:val="18"/>
                <w:szCs w:val="18"/>
                <w:lang w:val="en-US" w:eastAsia="zh"/>
              </w:rPr>
              <w:t>4</w:t>
            </w:r>
            <w:r>
              <w:rPr>
                <w:rFonts w:hint="eastAsia" w:ascii="宋体" w:hAnsi="宋体" w:cs="宋体"/>
                <w:color w:val="auto"/>
                <w:kern w:val="0"/>
                <w:sz w:val="18"/>
                <w:szCs w:val="18"/>
                <w:lang w:val="en-US" w:eastAsia="zh-CN"/>
              </w:rPr>
              <w:t>年11月底之前</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4"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支出金额控制</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不超过</w:t>
            </w:r>
            <w:r>
              <w:rPr>
                <w:rFonts w:hint="eastAsia" w:ascii="宋体" w:hAnsi="宋体" w:cs="宋体"/>
                <w:color w:val="auto"/>
                <w:kern w:val="0"/>
                <w:sz w:val="18"/>
                <w:szCs w:val="18"/>
                <w:lang w:val="en-US" w:eastAsia="zh"/>
              </w:rPr>
              <w:t>4.68</w:t>
            </w:r>
            <w:r>
              <w:rPr>
                <w:rFonts w:hint="eastAsia" w:ascii="宋体" w:hAnsi="宋体" w:cs="宋体"/>
                <w:color w:val="auto"/>
                <w:kern w:val="0"/>
                <w:sz w:val="18"/>
                <w:szCs w:val="18"/>
                <w:lang w:val="en-US" w:eastAsia="zh-CN"/>
              </w:rPr>
              <w:t>万元</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4.68</w:t>
            </w:r>
            <w:r>
              <w:rPr>
                <w:rFonts w:hint="eastAsia" w:ascii="宋体" w:hAnsi="宋体" w:cs="宋体"/>
                <w:color w:val="auto"/>
                <w:kern w:val="0"/>
                <w:sz w:val="18"/>
                <w:szCs w:val="18"/>
                <w:lang w:val="en-US" w:eastAsia="zh-CN"/>
              </w:rPr>
              <w:t>万元</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7"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29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扎实做好基层统计工作</w:t>
            </w:r>
          </w:p>
        </w:tc>
        <w:tc>
          <w:tcPr>
            <w:tcW w:w="112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较</w:t>
            </w:r>
            <w:r>
              <w:rPr>
                <w:rFonts w:hint="eastAsia" w:ascii="宋体" w:hAnsi="宋体" w:cs="宋体"/>
                <w:color w:val="auto"/>
                <w:kern w:val="0"/>
                <w:sz w:val="18"/>
                <w:szCs w:val="18"/>
                <w:lang w:val="en-US" w:eastAsia="zh-CN"/>
              </w:rPr>
              <w:t>202</w:t>
            </w:r>
            <w:r>
              <w:rPr>
                <w:rFonts w:hint="eastAsia" w:ascii="宋体" w:hAnsi="宋体" w:cs="宋体"/>
                <w:color w:val="auto"/>
                <w:kern w:val="0"/>
                <w:sz w:val="18"/>
                <w:szCs w:val="18"/>
                <w:lang w:val="en-US" w:eastAsia="zh"/>
              </w:rPr>
              <w:t>3</w:t>
            </w:r>
            <w:r>
              <w:rPr>
                <w:rFonts w:hint="eastAsia" w:ascii="宋体" w:hAnsi="宋体" w:cs="宋体"/>
                <w:color w:val="auto"/>
                <w:kern w:val="0"/>
                <w:sz w:val="18"/>
                <w:szCs w:val="18"/>
                <w:lang w:val="en-US" w:eastAsia="zh-CN"/>
              </w:rPr>
              <w:t>年有所提升</w:t>
            </w:r>
          </w:p>
        </w:tc>
        <w:tc>
          <w:tcPr>
            <w:tcW w:w="10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较</w:t>
            </w:r>
            <w:r>
              <w:rPr>
                <w:rFonts w:hint="eastAsia" w:ascii="宋体" w:hAnsi="宋体" w:cs="宋体"/>
                <w:color w:val="auto"/>
                <w:kern w:val="0"/>
                <w:sz w:val="18"/>
                <w:szCs w:val="18"/>
                <w:lang w:val="en-US" w:eastAsia="zh-CN"/>
              </w:rPr>
              <w:t>202</w:t>
            </w:r>
            <w:r>
              <w:rPr>
                <w:rFonts w:hint="eastAsia" w:ascii="宋体" w:hAnsi="宋体" w:cs="宋体"/>
                <w:color w:val="auto"/>
                <w:kern w:val="0"/>
                <w:sz w:val="18"/>
                <w:szCs w:val="18"/>
                <w:lang w:val="en-US" w:eastAsia="zh"/>
              </w:rPr>
              <w:t>3</w:t>
            </w:r>
            <w:r>
              <w:rPr>
                <w:rFonts w:hint="eastAsia" w:ascii="宋体" w:hAnsi="宋体" w:cs="宋体"/>
                <w:color w:val="auto"/>
                <w:kern w:val="0"/>
                <w:sz w:val="18"/>
                <w:szCs w:val="18"/>
                <w:lang w:val="en-US" w:eastAsia="zh-CN"/>
              </w:rPr>
              <w:t>年有所提升</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60" w:hRule="exact"/>
          <w:jc w:val="center"/>
        </w:trPr>
        <w:tc>
          <w:tcPr>
            <w:tcW w:w="687"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给经济社会发展规划提供科学准确的依据</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进一步提升</w:t>
            </w:r>
          </w:p>
        </w:tc>
        <w:tc>
          <w:tcPr>
            <w:tcW w:w="10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进一步提升</w:t>
            </w:r>
          </w:p>
        </w:tc>
        <w:tc>
          <w:tcPr>
            <w:tcW w:w="6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6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70" w:hRule="exact"/>
          <w:jc w:val="center"/>
        </w:trPr>
        <w:tc>
          <w:tcPr>
            <w:tcW w:w="68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60"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38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调查人员满意情况</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85" w:hRule="exact"/>
          <w:jc w:val="center"/>
        </w:trPr>
        <w:tc>
          <w:tcPr>
            <w:tcW w:w="76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62" w:type="dxa"/>
            <w:gridSpan w:val="2"/>
            <w:tcBorders>
              <w:top w:val="nil"/>
              <w:left w:val="nil"/>
              <w:bottom w:val="nil"/>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62" w:type="dxa"/>
            <w:gridSpan w:val="2"/>
            <w:tcBorders>
              <w:top w:val="nil"/>
              <w:left w:val="nil"/>
              <w:bottom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6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947"/>
        <w:gridCol w:w="103"/>
        <w:gridCol w:w="494"/>
        <w:gridCol w:w="277"/>
        <w:gridCol w:w="227"/>
        <w:gridCol w:w="609"/>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w:t>
            </w:r>
            <w:r>
              <w:rPr>
                <w:rFonts w:hint="eastAsia" w:ascii="宋体" w:hAnsi="宋体" w:cs="宋体"/>
                <w:color w:val="auto"/>
                <w:kern w:val="0"/>
                <w:sz w:val="22"/>
                <w:lang w:val="en-US" w:eastAsia="zh"/>
              </w:rPr>
              <w:t>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第五次全国经济普查项目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w:t>
            </w:r>
            <w:r>
              <w:rPr>
                <w:rFonts w:hint="eastAsia" w:ascii="宋体" w:hAnsi="宋体" w:cs="宋体"/>
                <w:color w:val="auto"/>
                <w:kern w:val="0"/>
                <w:sz w:val="18"/>
                <w:szCs w:val="18"/>
                <w:lang w:val="en-US" w:eastAsia="zh-CN"/>
              </w:rPr>
              <w:t>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杨庄街道</w:t>
            </w:r>
            <w:r>
              <w:rPr>
                <w:rFonts w:hint="eastAsia" w:ascii="宋体" w:hAnsi="宋体" w:cs="宋体"/>
                <w:color w:val="auto"/>
                <w:kern w:val="0"/>
                <w:sz w:val="18"/>
                <w:szCs w:val="18"/>
                <w:lang w:val="en-US" w:eastAsia="zh-CN"/>
              </w:rPr>
              <w:t>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31.05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31.05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bidi="ar-SA"/>
              </w:rPr>
            </w:pPr>
            <w:r>
              <w:rPr>
                <w:rFonts w:hint="eastAsia" w:ascii="宋体" w:hAnsi="宋体" w:cs="宋体"/>
                <w:color w:val="auto"/>
                <w:kern w:val="0"/>
                <w:sz w:val="18"/>
                <w:szCs w:val="18"/>
                <w:lang w:val="en-US" w:eastAsia="zh"/>
              </w:rPr>
              <w:t>31.05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 w:bidi="ar-SA"/>
              </w:rPr>
            </w:pPr>
            <w:r>
              <w:rPr>
                <w:rFonts w:hint="eastAsia" w:ascii="宋体" w:hAnsi="宋体" w:cs="宋体"/>
                <w:color w:val="auto"/>
                <w:kern w:val="0"/>
                <w:sz w:val="18"/>
                <w:szCs w:val="18"/>
                <w:lang w:val="en-US" w:eastAsia="zh"/>
              </w:rPr>
              <w:t>31.05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9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完成辖区内普查数据的录入、汇总及开发应用。</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1.</w:t>
            </w:r>
            <w:r>
              <w:rPr>
                <w:rFonts w:hint="eastAsia" w:ascii="宋体" w:hAnsi="宋体" w:cs="宋体"/>
                <w:color w:val="auto"/>
                <w:kern w:val="0"/>
                <w:sz w:val="18"/>
                <w:szCs w:val="18"/>
                <w:lang w:val="en-US" w:eastAsia="zh-CN"/>
              </w:rPr>
              <w:t>完成2145家企业和727户个体经营户的数据录入工作；2.完成普查数据的汇总，形成各类普查汇总表；3.深入开展普查资料的开发应用。</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3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开展宣传活动次数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3</w:t>
            </w:r>
            <w:r>
              <w:rPr>
                <w:rFonts w:hint="eastAsia" w:ascii="宋体" w:hAnsi="宋体" w:cs="宋体"/>
                <w:color w:val="auto"/>
                <w:kern w:val="0"/>
                <w:sz w:val="18"/>
                <w:szCs w:val="18"/>
                <w:lang w:val="en-US" w:eastAsia="zh-CN"/>
              </w:rPr>
              <w:t>次</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3</w:t>
            </w:r>
            <w:r>
              <w:rPr>
                <w:rFonts w:hint="eastAsia" w:ascii="宋体" w:hAnsi="宋体" w:cs="宋体"/>
                <w:color w:val="auto"/>
                <w:kern w:val="0"/>
                <w:sz w:val="18"/>
                <w:szCs w:val="18"/>
                <w:lang w:val="en-US" w:eastAsia="zh-CN"/>
              </w:rPr>
              <w:t>次</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组织普查员培训次数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培训合格率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2024年4月30日前完成所有普查对象的数据采集工作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2024年4月30日</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2024年4月30日</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在规定时间内完成查疑补漏工作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完成率100%</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完成率100%</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1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预算金额控制在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小于等于31.05万元</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31.05万元</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公众认知度及支持度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94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6"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为产业调整提供统计信息支撑</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有所提高</w:t>
            </w:r>
          </w:p>
        </w:tc>
        <w:tc>
          <w:tcPr>
            <w:tcW w:w="9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有所提高</w:t>
            </w:r>
          </w:p>
        </w:tc>
        <w:tc>
          <w:tcPr>
            <w:tcW w:w="5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社会公众满意度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5" w:hRule="exact"/>
          <w:jc w:val="center"/>
        </w:trPr>
        <w:tc>
          <w:tcPr>
            <w:tcW w:w="6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劳动争议调解补贴</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0.05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0.05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0.05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0.05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对符合要求的案件申请调解补贴</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每年度至少完成一次调解补贴申领发放流程。</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2024年度，已</w:t>
            </w:r>
            <w:r>
              <w:rPr>
                <w:rFonts w:hint="eastAsia" w:ascii="宋体" w:hAnsi="宋体" w:cs="宋体"/>
                <w:color w:val="auto"/>
                <w:kern w:val="0"/>
                <w:sz w:val="18"/>
                <w:szCs w:val="18"/>
              </w:rPr>
              <w:t>完成一次调解补贴申领发放流程。</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指标1：年内至少完成调解补贴申领</w:t>
            </w:r>
            <w:r>
              <w:rPr>
                <w:rFonts w:hint="eastAsia" w:ascii="宋体" w:hAnsi="宋体" w:cs="宋体"/>
                <w:color w:val="auto"/>
                <w:kern w:val="0"/>
                <w:sz w:val="18"/>
                <w:szCs w:val="18"/>
                <w:lang w:eastAsia="zh-CN"/>
              </w:rPr>
              <w:t>次数</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10</w:t>
            </w:r>
            <w:r>
              <w:rPr>
                <w:rFonts w:hint="eastAsia" w:ascii="宋体" w:hAnsi="宋体" w:cs="宋体"/>
                <w:color w:val="auto"/>
                <w:kern w:val="0"/>
                <w:sz w:val="18"/>
                <w:szCs w:val="18"/>
              </w:rPr>
              <w:t>规范案卷管理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按照要求梳理报送材料</w:t>
            </w:r>
          </w:p>
          <w:p>
            <w:pPr>
              <w:widowControl/>
              <w:spacing w:line="240" w:lineRule="exact"/>
              <w:jc w:val="center"/>
              <w:rPr>
                <w:rFonts w:hint="eastAsia" w:ascii="宋体" w:hAnsi="宋体" w:cs="宋体"/>
                <w:color w:val="auto"/>
                <w:kern w:val="0"/>
                <w:sz w:val="18"/>
                <w:szCs w:val="18"/>
              </w:rPr>
            </w:pPr>
          </w:p>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按照要求梳理报送</w:t>
            </w:r>
            <w:r>
              <w:rPr>
                <w:rFonts w:hint="eastAsia" w:ascii="宋体" w:hAnsi="宋体" w:cs="宋体"/>
                <w:color w:val="auto"/>
                <w:kern w:val="0"/>
                <w:sz w:val="18"/>
                <w:szCs w:val="18"/>
                <w:lang w:eastAsia="zh-CN"/>
              </w:rPr>
              <w:t>材料</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4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指标1：报送期限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2024年11月底之前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2024年11月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指标1：为辖区内居民开展劳动争议性调解</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成果显著</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成果显著</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2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指标1：案件申请人满意度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满意</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小型消防站房租</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54.75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54.75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54.75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54.75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047"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为更好地保障杨庄辖区消防安全，提高火灾发生时的扑救速度，按照区消防支队工作要求，在杨庄辖区内，</w:t>
            </w:r>
            <w:r>
              <w:rPr>
                <w:rFonts w:hint="eastAsia" w:ascii="宋体" w:hAnsi="宋体" w:cs="宋体"/>
                <w:color w:val="auto"/>
                <w:kern w:val="0"/>
                <w:sz w:val="18"/>
                <w:szCs w:val="18"/>
                <w:lang w:eastAsia="zh-CN"/>
              </w:rPr>
              <w:t>租用北京探矿机械厂院内一处二层楼宇，改造成一座小型消防站使用。</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租用北京探矿机械厂院内一处二层楼宇用于改造成小型消防站使用，现消防站已入驻，有效提升火灾扑救效率，减少到达时间。</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租用楼宇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一处</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一处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2024年底前完成续租</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2024底前完成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2024底前完成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8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金额控制在</w:t>
            </w:r>
            <w:r>
              <w:rPr>
                <w:rFonts w:hint="eastAsia" w:ascii="宋体" w:hAnsi="宋体" w:cs="宋体"/>
                <w:color w:val="auto"/>
                <w:kern w:val="0"/>
                <w:sz w:val="18"/>
                <w:szCs w:val="18"/>
                <w:lang w:val="en-US" w:eastAsia="zh-CN"/>
              </w:rPr>
              <w:t>60万元内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60万元内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54.75</w:t>
            </w:r>
            <w:r>
              <w:rPr>
                <w:rFonts w:hint="eastAsia" w:ascii="宋体" w:hAnsi="宋体" w:cs="宋体"/>
                <w:color w:val="auto"/>
                <w:kern w:val="0"/>
                <w:sz w:val="18"/>
                <w:szCs w:val="18"/>
                <w:lang w:eastAsia="zh-CN"/>
              </w:rPr>
              <w:t>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提升火灾扑救效率减少到达时间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5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指标1：保障辖区消防安全</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1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bookmarkStart w:id="0" w:name="OLE_LINK2"/>
            <w:r>
              <w:rPr>
                <w:rFonts w:hint="eastAsia" w:ascii="宋体" w:hAnsi="宋体" w:cs="宋体"/>
                <w:color w:val="auto"/>
                <w:kern w:val="0"/>
                <w:sz w:val="18"/>
                <w:szCs w:val="18"/>
                <w:lang w:eastAsia="zh-CN"/>
              </w:rPr>
              <w:t>群众满意度</w:t>
            </w:r>
            <w:bookmarkEnd w:id="0"/>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jc w:val="both"/>
      </w:pPr>
    </w:p>
    <w:p/>
    <w:p>
      <w:pPr>
        <w:pStyle w:val="2"/>
      </w:pPr>
    </w:p>
    <w:p/>
    <w:p>
      <w:pPr>
        <w:pStyle w:val="2"/>
      </w:pPr>
    </w:p>
    <w:p/>
    <w:p>
      <w:pPr>
        <w:pStyle w:val="2"/>
      </w:pPr>
    </w:p>
    <w:p/>
    <w:tbl>
      <w:tblPr>
        <w:tblStyle w:val="4"/>
        <w:tblpPr w:leftFromText="180" w:rightFromText="180" w:vertAnchor="page" w:horzAnchor="page" w:tblpXSpec="center" w:tblpY="1436"/>
        <w:tblOverlap w:val="never"/>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970"/>
        <w:gridCol w:w="80"/>
        <w:gridCol w:w="415"/>
        <w:gridCol w:w="35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重点廊道建设杨庄街道京哈线沿线绿化提升项目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rPr>
            </w:pPr>
            <w:r>
              <w:rPr>
                <w:rFonts w:hint="eastAsia" w:ascii="宋体" w:hAnsi="宋体" w:eastAsia="宋体" w:cs="宋体"/>
                <w:sz w:val="18"/>
                <w:szCs w:val="18"/>
                <w:lang w:val="en-US" w:eastAsia="zh-CN"/>
              </w:rPr>
              <w:t>181.9</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sz w:val="18"/>
                <w:szCs w:val="18"/>
                <w:lang w:val="en-US" w:eastAsia="zh-CN"/>
              </w:rPr>
              <w:t>181.9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181.9</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181.9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区平安铁路专项办《关于做好铁路沿线综合整治和绿化提升有关工作的通知》要求，结合市委平安铁路专项组和区政府“疏解整治促提升”工作要求，对杨庄街道辖区京哈上下行线与京承上行线夹角区域，开展综合整治和绿化提升工作。</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推进铁路沿线周边综合整治和绿化提升，改善环境秩序，提升景观面貌。</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整治面积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14800余平米</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14800余平米</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工程验收合格</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验收合格</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验收合格</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工期控制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≦9</w:t>
            </w:r>
            <w:r>
              <w:rPr>
                <w:rFonts w:hint="eastAsia" w:ascii="宋体" w:hAnsi="宋体" w:cs="宋体"/>
                <w:color w:val="auto"/>
                <w:kern w:val="0"/>
                <w:sz w:val="18"/>
                <w:szCs w:val="18"/>
                <w:lang w:val="en-US" w:eastAsia="zh-CN"/>
              </w:rPr>
              <w:t>0天</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61天</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支出金额控制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≦181.9万元</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181.9万元</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消除铁路沿线消防隐患</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提升辖区景观面貌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有效提升</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有效提升</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1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增加周围居民的便利性</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有所增加</w:t>
            </w:r>
          </w:p>
        </w:tc>
        <w:tc>
          <w:tcPr>
            <w:tcW w:w="9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有所增加</w:t>
            </w:r>
          </w:p>
        </w:tc>
        <w:tc>
          <w:tcPr>
            <w:tcW w:w="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3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提高居民满意度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有所提升</w:t>
            </w:r>
          </w:p>
        </w:tc>
        <w:tc>
          <w:tcPr>
            <w:tcW w:w="9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得到提升</w:t>
            </w:r>
          </w:p>
        </w:tc>
        <w:tc>
          <w:tcPr>
            <w:tcW w:w="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54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970"/>
        <w:gridCol w:w="80"/>
        <w:gridCol w:w="415"/>
        <w:gridCol w:w="35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45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杨庄街道京哈线、京承线铁路沿线安全隐患整治提升（建筑垃圾、普通垃圾和杂草清理）项目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rPr>
            </w:pPr>
            <w:r>
              <w:rPr>
                <w:rFonts w:hint="eastAsia" w:ascii="宋体" w:hAnsi="宋体" w:eastAsia="宋体" w:cs="宋体"/>
                <w:sz w:val="18"/>
                <w:szCs w:val="18"/>
                <w:lang w:val="en-US" w:eastAsia="zh-CN"/>
              </w:rPr>
              <w:t>88.95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sz w:val="18"/>
                <w:szCs w:val="18"/>
                <w:lang w:val="en-US" w:eastAsia="zh-CN"/>
              </w:rPr>
              <w:t>88.95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88.95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88.95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为更好的保障铁路安全，消除消防安全隐患，按照区委政法委关于加强铁路周边隐患治理的工作精神，对铁路沿线护坡等无人管理</w:t>
            </w:r>
            <w:r>
              <w:rPr>
                <w:rFonts w:hint="eastAsia" w:ascii="宋体" w:hAnsi="宋体" w:cs="宋体"/>
                <w:color w:val="auto"/>
                <w:kern w:val="0"/>
                <w:sz w:val="18"/>
                <w:szCs w:val="18"/>
                <w:lang w:eastAsia="zh-CN"/>
              </w:rPr>
              <w:t>地块的</w:t>
            </w:r>
            <w:r>
              <w:rPr>
                <w:rFonts w:hint="eastAsia" w:ascii="宋体" w:hAnsi="宋体" w:cs="宋体"/>
                <w:color w:val="auto"/>
                <w:kern w:val="0"/>
                <w:sz w:val="18"/>
                <w:szCs w:val="18"/>
              </w:rPr>
              <w:t>杂草</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枯枝落叶</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硬质漂浮物等</w:t>
            </w:r>
            <w:r>
              <w:rPr>
                <w:rFonts w:hint="eastAsia" w:ascii="宋体" w:hAnsi="宋体" w:cs="宋体"/>
                <w:color w:val="auto"/>
                <w:kern w:val="0"/>
                <w:sz w:val="18"/>
                <w:szCs w:val="18"/>
                <w:lang w:eastAsia="zh-CN"/>
              </w:rPr>
              <w:t>进行清理。</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对</w:t>
            </w:r>
            <w:r>
              <w:rPr>
                <w:rFonts w:hint="eastAsia" w:ascii="宋体" w:hAnsi="宋体" w:cs="宋体"/>
                <w:color w:val="auto"/>
                <w:kern w:val="0"/>
                <w:sz w:val="18"/>
                <w:szCs w:val="18"/>
              </w:rPr>
              <w:t>京哈线南北两侧、京承线东西两侧、京哈线南侧广渠路北侧原杨庄小学西侧树林，进行建筑垃圾、普通垃圾和杂草清理。</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清理面积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5.48万平方米</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5.48万平方米</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工程验收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验收合格</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验收合格</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工期控制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35天以内</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30天</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项目金额控制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90万元内</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88.95万元</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消除铁路沿线消防隐患</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提升辖区景观面貌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有效提升</w:t>
            </w:r>
          </w:p>
        </w:tc>
        <w:tc>
          <w:tcPr>
            <w:tcW w:w="9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有效提升</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34"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保障辖区铁路安全</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有所提升</w:t>
            </w:r>
          </w:p>
        </w:tc>
        <w:tc>
          <w:tcPr>
            <w:tcW w:w="9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3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提高居民满意度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有所提升</w:t>
            </w:r>
          </w:p>
        </w:tc>
        <w:tc>
          <w:tcPr>
            <w:tcW w:w="9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得到提升</w:t>
            </w:r>
          </w:p>
        </w:tc>
        <w:tc>
          <w:tcPr>
            <w:tcW w:w="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54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w:t>
            </w:r>
          </w:p>
        </w:tc>
        <w:tc>
          <w:tcPr>
            <w:tcW w:w="4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个人违规电动三四轮车工作经费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07"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做好杨庄辖区内违规三四轮电动车清退工作，通过补贴的方式提高居民热情，有效开展清退工作。</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清退违规车辆</w:t>
            </w:r>
            <w:r>
              <w:rPr>
                <w:rFonts w:hint="eastAsia" w:ascii="宋体" w:hAnsi="宋体" w:cs="宋体"/>
                <w:color w:val="auto"/>
                <w:kern w:val="0"/>
                <w:sz w:val="18"/>
                <w:szCs w:val="18"/>
                <w:lang w:val="en-US" w:eastAsia="zh-CN"/>
              </w:rPr>
              <w:t>275辆，圆满完成</w:t>
            </w:r>
            <w:r>
              <w:rPr>
                <w:rFonts w:hint="eastAsia" w:ascii="宋体" w:hAnsi="宋体" w:cs="宋体"/>
                <w:color w:val="auto"/>
                <w:kern w:val="0"/>
                <w:sz w:val="18"/>
                <w:szCs w:val="18"/>
              </w:rPr>
              <w:t>个人违规电动三四轮车回收</w:t>
            </w:r>
            <w:r>
              <w:rPr>
                <w:rFonts w:hint="eastAsia" w:ascii="宋体" w:hAnsi="宋体" w:cs="宋体"/>
                <w:color w:val="auto"/>
                <w:kern w:val="0"/>
                <w:sz w:val="18"/>
                <w:szCs w:val="18"/>
                <w:lang w:eastAsia="zh-CN"/>
              </w:rPr>
              <w:t>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清退违规三四轮电动车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275辆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275辆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清退率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8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2024年3月完成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2024年3月完成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2024年3月完成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：清退补贴标准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800元/辆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800元/辆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9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杜绝违规三四轮电动车上路，维护交通秩序，保障群众安全出行。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3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指标1：引导群众安全</w:t>
            </w:r>
          </w:p>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出行，全力打造文明、有序的道路交通环境。</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2022年度背街小巷整治市级奖励资金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r>
              <w:rPr>
                <w:rFonts w:hint="default" w:ascii="Arial" w:hAnsi="Arial" w:cs="Arial"/>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按照区城管委要求，保质保量完成背街小巷</w:t>
            </w:r>
            <w:r>
              <w:rPr>
                <w:rFonts w:hint="eastAsia" w:ascii="宋体" w:hAnsi="宋体" w:cs="宋体"/>
                <w:color w:val="auto"/>
                <w:kern w:val="0"/>
                <w:sz w:val="18"/>
                <w:szCs w:val="18"/>
                <w:lang w:val="en-US" w:eastAsia="zh-CN"/>
              </w:rPr>
              <w:t>整治市级奖励资金项目的申报、施工、验收、结算工作，有效提升背街小巷</w:t>
            </w:r>
            <w:r>
              <w:rPr>
                <w:rFonts w:hint="eastAsia" w:ascii="宋体" w:hAnsi="宋体" w:cs="宋体"/>
                <w:color w:val="auto"/>
                <w:kern w:val="0"/>
                <w:sz w:val="18"/>
                <w:szCs w:val="18"/>
                <w:lang w:eastAsia="zh-CN"/>
              </w:rPr>
              <w:t>卫生水平和环境质量。</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2024年申报并完成2批背街小巷整治市级奖励资金项目，辖区内背街小巷</w:t>
            </w:r>
            <w:r>
              <w:rPr>
                <w:rFonts w:hint="eastAsia" w:ascii="宋体" w:hAnsi="宋体" w:cs="宋体"/>
                <w:color w:val="auto"/>
                <w:kern w:val="0"/>
                <w:sz w:val="18"/>
                <w:szCs w:val="18"/>
                <w:lang w:eastAsia="zh-CN"/>
              </w:rPr>
              <w:t>卫生水平和环境质量明显提升。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68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实施项目数量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2个</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2个</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7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项目验收合格率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r>
              <w:rPr>
                <w:rFonts w:hint="default" w:ascii="Arial" w:hAnsi="Arial" w:cs="Arial"/>
                <w:color w:val="auto"/>
                <w:kern w:val="0"/>
                <w:sz w:val="18"/>
                <w:szCs w:val="18"/>
                <w:lang w:val="en-US" w:eastAsia="zh-CN"/>
              </w:rPr>
              <w:t>％</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r>
              <w:rPr>
                <w:rFonts w:hint="default" w:ascii="Arial" w:hAnsi="Arial" w:cs="Arial"/>
                <w:color w:val="auto"/>
                <w:kern w:val="0"/>
                <w:sz w:val="18"/>
                <w:szCs w:val="18"/>
                <w:lang w:val="en-US" w:eastAsia="zh-CN"/>
              </w:rPr>
              <w:t>％</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2024年底之前完成项目验收结算</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按时完成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预算控制金额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≤21万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21万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人居环境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显著提升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显著提升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卫生水平和环境质量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明显改善</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明显改善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46"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项目可持续使用</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可持续使用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居民</w:t>
            </w:r>
            <w:r>
              <w:rPr>
                <w:rFonts w:hint="eastAsia" w:ascii="宋体" w:hAnsi="宋体" w:cs="宋体"/>
                <w:color w:val="auto"/>
                <w:kern w:val="0"/>
                <w:sz w:val="18"/>
                <w:szCs w:val="18"/>
                <w:lang w:val="en-US" w:eastAsia="zh-CN"/>
              </w:rPr>
              <w:t>12345投诉</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显著减少</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显著减少</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632"/>
        <w:gridCol w:w="1200"/>
        <w:gridCol w:w="1181"/>
        <w:gridCol w:w="1188"/>
        <w:gridCol w:w="559"/>
        <w:gridCol w:w="497"/>
        <w:gridCol w:w="339"/>
        <w:gridCol w:w="699"/>
      </w:tblGrid>
      <w:tr>
        <w:tblPrEx>
          <w:tblLayout w:type="fixed"/>
          <w:tblCellMar>
            <w:top w:w="0" w:type="dxa"/>
            <w:left w:w="108" w:type="dxa"/>
            <w:bottom w:w="0" w:type="dxa"/>
            <w:right w:w="108" w:type="dxa"/>
          </w:tblCellMar>
        </w:tblPrEx>
        <w:trPr>
          <w:trHeight w:val="440" w:hRule="exact"/>
          <w:jc w:val="center"/>
        </w:trPr>
        <w:tc>
          <w:tcPr>
            <w:tcW w:w="8928" w:type="dxa"/>
            <w:gridSpan w:val="11"/>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1"/>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生活垃圾日常管理经费</w:t>
            </w:r>
            <w:r>
              <w:rPr>
                <w:rFonts w:hint="eastAsia" w:ascii="宋体" w:hAnsi="宋体" w:cs="宋体"/>
                <w:color w:val="auto"/>
                <w:kern w:val="0"/>
                <w:sz w:val="18"/>
                <w:szCs w:val="18"/>
              </w:rPr>
              <w:t>项目</w:t>
            </w:r>
          </w:p>
        </w:tc>
      </w:tr>
      <w:tr>
        <w:tblPrEx>
          <w:tblLayout w:type="fixed"/>
          <w:tblCellMar>
            <w:top w:w="0" w:type="dxa"/>
            <w:left w:w="108" w:type="dxa"/>
            <w:bottom w:w="0" w:type="dxa"/>
            <w:right w:w="108" w:type="dxa"/>
          </w:tblCellMar>
        </w:tblPrEx>
        <w:trPr>
          <w:trHeight w:val="32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9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9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39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186.68</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186.68</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186.68</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186.68</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235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0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针对全年垃圾分类相关工作，重点从硬件设施维护与更替、再生资源体系建设、垃圾分类现场管理、垃圾分类宣传等多方面提升辖区内垃圾分类效果，全年新建垃圾分类方舱2组，置换垃圾桶1555个，配置桶前值守人员服装364套。实现低值可回收物减量600吨以上，试点“一袋式”上门回收模式，累计回收可回收物100吨。完成大件垃圾清运216车次。通过配置专职桶前值守人员，实现无物业及准物业小区垃圾方舱周边环境显著提升。全年开展垃圾分类宣传活动14场。</w:t>
            </w:r>
          </w:p>
        </w:tc>
        <w:tc>
          <w:tcPr>
            <w:tcW w:w="32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全年新建垃圾分类方舱2组，置换垃圾桶1555个，制作垃圾分类桶前值守合规服装364套。全年低值可回收物减量604.62吨，完成“一袋式”上门回收可回收物100余吨。完成大件垃圾清运216车次。通过对无物业及准物业小区垃圾方舱的精准管理，垃圾方舱现场环境得到显著提升。已开展垃圾分类宣传活动14场。</w:t>
            </w:r>
          </w:p>
        </w:tc>
      </w:tr>
      <w:tr>
        <w:tblPrEx>
          <w:tblLayout w:type="fixed"/>
          <w:tblCellMar>
            <w:top w:w="0" w:type="dxa"/>
            <w:left w:w="108" w:type="dxa"/>
            <w:bottom w:w="0" w:type="dxa"/>
            <w:right w:w="108" w:type="dxa"/>
          </w:tblCellMar>
        </w:tblPrEx>
        <w:trPr>
          <w:trHeight w:val="8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9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w:t>
            </w:r>
            <w:r>
              <w:rPr>
                <w:rFonts w:hint="eastAsia" w:ascii="宋体" w:hAnsi="宋体" w:cs="宋体"/>
                <w:color w:val="auto"/>
                <w:kern w:val="0"/>
                <w:sz w:val="18"/>
                <w:szCs w:val="18"/>
                <w:lang w:val="en-US" w:eastAsia="zh-CN"/>
              </w:rPr>
              <w:t>新建垃圾分类方舱数量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2组</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2组</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w:t>
            </w:r>
            <w:r>
              <w:rPr>
                <w:rFonts w:hint="eastAsia" w:ascii="宋体" w:hAnsi="宋体" w:cs="宋体"/>
                <w:color w:val="auto"/>
                <w:kern w:val="0"/>
                <w:sz w:val="18"/>
                <w:szCs w:val="18"/>
                <w:lang w:val="en-US" w:eastAsia="zh-CN"/>
              </w:rPr>
              <w:t>置换垃圾桶数量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1555个</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1555个</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51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指标3：</w:t>
            </w:r>
            <w:r>
              <w:rPr>
                <w:rFonts w:hint="eastAsia" w:ascii="宋体" w:hAnsi="宋体" w:cs="宋体"/>
                <w:color w:val="auto"/>
                <w:kern w:val="0"/>
                <w:sz w:val="18"/>
                <w:szCs w:val="18"/>
                <w:lang w:val="en-US" w:eastAsia="zh-CN"/>
              </w:rPr>
              <w:t>配置合规垃圾分类桶前值守人员服装数量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配置桶前值守人员服装364套。</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制作垃圾分类桶前值守合规服装364套。</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3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指标4：</w:t>
            </w:r>
            <w:r>
              <w:rPr>
                <w:rFonts w:hint="eastAsia" w:ascii="宋体" w:hAnsi="宋体" w:cs="宋体"/>
                <w:color w:val="auto"/>
                <w:kern w:val="0"/>
                <w:sz w:val="18"/>
                <w:szCs w:val="18"/>
                <w:lang w:val="en-US" w:eastAsia="zh-CN"/>
              </w:rPr>
              <w:t>实现低值可回收物减量重量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大于等于600吨</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604.62吨</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指标1：项目验收合格率</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4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指标1：2024年12月底之前完成</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按时完成</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按时完成</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1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指标1：预算控制金额</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color w:val="auto"/>
                <w:kern w:val="0"/>
                <w:sz w:val="18"/>
                <w:szCs w:val="18"/>
                <w:lang w:val="en-US" w:eastAsia="zh-CN"/>
              </w:rPr>
              <w:t>186.68完元</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186.68万元</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1"/>
                <w:szCs w:val="11"/>
              </w:rPr>
            </w:pPr>
            <w:r>
              <w:rPr>
                <w:rFonts w:hint="eastAsia" w:ascii="宋体" w:hAnsi="宋体" w:eastAsia="宋体" w:cs="宋体"/>
                <w:i w:val="0"/>
                <w:iCs w:val="0"/>
                <w:color w:val="000000"/>
                <w:kern w:val="0"/>
                <w:sz w:val="18"/>
                <w:szCs w:val="18"/>
                <w:u w:val="none"/>
                <w:lang w:val="en-US" w:eastAsia="zh-CN" w:bidi="ar"/>
              </w:rPr>
              <w:t xml:space="preserve"> 指标1：……</w:t>
            </w:r>
          </w:p>
        </w:tc>
        <w:tc>
          <w:tcPr>
            <w:tcW w:w="1181"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3"/>
                <w:szCs w:val="13"/>
              </w:rPr>
            </w:pPr>
          </w:p>
        </w:tc>
        <w:tc>
          <w:tcPr>
            <w:tcW w:w="118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3"/>
                <w:szCs w:val="13"/>
              </w:rPr>
            </w:pP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指标1：人居环境</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4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指标2：更加便于居民后期垃圾分类的投放与使用，提升居民生活质量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得到提升</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得到提升</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指标1：满足市区两级垃圾分类对于硬件设施的考核标准</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完成考核</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eastAsia="zh-CN"/>
              </w:rPr>
              <w:t>完成考核</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0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指标2：改善卫生水平和环境质量</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得到改善</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得到改善</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86"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指标1：生态文明水平</w:t>
            </w:r>
          </w:p>
        </w:tc>
        <w:tc>
          <w:tcPr>
            <w:tcW w:w="11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指标2：居民参与垃圾分类积极性</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指标1：服务对象满意度</w:t>
            </w:r>
          </w:p>
        </w:tc>
        <w:tc>
          <w:tcPr>
            <w:tcW w:w="11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83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181"/>
        <w:gridCol w:w="1188"/>
        <w:gridCol w:w="559"/>
        <w:gridCol w:w="497"/>
        <w:gridCol w:w="339"/>
        <w:gridCol w:w="699"/>
      </w:tblGrid>
      <w:tr>
        <w:tblPrEx>
          <w:tblLayout w:type="fixed"/>
          <w:tblCellMar>
            <w:top w:w="0" w:type="dxa"/>
            <w:left w:w="108" w:type="dxa"/>
            <w:bottom w:w="0" w:type="dxa"/>
            <w:right w:w="108" w:type="dxa"/>
          </w:tblCellMar>
        </w:tblPrEx>
        <w:trPr>
          <w:trHeight w:val="440" w:hRule="exact"/>
          <w:jc w:val="center"/>
        </w:trPr>
        <w:tc>
          <w:tcPr>
            <w:tcW w:w="8928" w:type="dxa"/>
            <w:gridSpan w:val="11"/>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1"/>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煤改电用户供电检修及设备维护服务项目</w:t>
            </w:r>
          </w:p>
        </w:tc>
      </w:tr>
      <w:tr>
        <w:tblPrEx>
          <w:tblLayout w:type="fixed"/>
          <w:tblCellMar>
            <w:top w:w="0" w:type="dxa"/>
            <w:left w:w="108" w:type="dxa"/>
            <w:bottom w:w="0" w:type="dxa"/>
            <w:right w:w="108" w:type="dxa"/>
          </w:tblCellMar>
        </w:tblPrEx>
        <w:trPr>
          <w:trHeight w:val="58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9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杨庄街道</w:t>
            </w:r>
            <w:r>
              <w:rPr>
                <w:rFonts w:hint="eastAsia" w:ascii="宋体" w:hAnsi="宋体" w:cs="宋体"/>
                <w:color w:val="auto"/>
                <w:kern w:val="0"/>
                <w:sz w:val="18"/>
                <w:szCs w:val="18"/>
                <w:lang w:eastAsia="zh-CN"/>
              </w:rPr>
              <w:t>办事处</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9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w:t>
            </w:r>
            <w:r>
              <w:rPr>
                <w:rFonts w:hint="eastAsia" w:ascii="宋体" w:hAnsi="宋体" w:cs="宋体"/>
                <w:color w:val="auto"/>
                <w:kern w:val="0"/>
                <w:sz w:val="18"/>
                <w:szCs w:val="18"/>
                <w:lang w:eastAsia="zh-CN"/>
              </w:rPr>
              <w:t>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2.82</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2.82</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2.82</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2.82</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99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0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根据区农业农村局关于“煤改清洁能源”设备后期长效管护相关工作要求，杨庄街道</w:t>
            </w:r>
            <w:r>
              <w:rPr>
                <w:rFonts w:hint="eastAsia" w:ascii="宋体" w:hAnsi="宋体" w:cs="宋体"/>
                <w:color w:val="auto"/>
                <w:kern w:val="0"/>
                <w:sz w:val="18"/>
                <w:szCs w:val="18"/>
                <w:lang w:eastAsia="zh-CN"/>
              </w:rPr>
              <w:t>开展</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年度超出免费质保期282户煤改电设备的巡检、售后维修等工作,确保住户正常安全取暖。</w:t>
            </w:r>
          </w:p>
        </w:tc>
        <w:tc>
          <w:tcPr>
            <w:tcW w:w="32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该项目完成了</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年度超出免费质保期282户煤改电设备的巡检、售后维修等工作,确保住户正常安全取暖。202</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年度取暖季杨庄街道未收到关于“煤改电”12345热线</w:t>
            </w:r>
            <w:r>
              <w:rPr>
                <w:rFonts w:hint="eastAsia" w:ascii="宋体" w:hAnsi="宋体" w:cs="宋体"/>
                <w:color w:val="auto"/>
                <w:kern w:val="0"/>
                <w:sz w:val="18"/>
                <w:szCs w:val="18"/>
                <w:lang w:eastAsia="zh-CN"/>
              </w:rPr>
              <w:t>，检修维护用户表示支持和满意，</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年取暖季未出现重大管护事件。</w:t>
            </w:r>
          </w:p>
        </w:tc>
      </w:tr>
      <w:tr>
        <w:tblPrEx>
          <w:tblLayout w:type="fixed"/>
          <w:tblCellMar>
            <w:top w:w="0" w:type="dxa"/>
            <w:left w:w="108" w:type="dxa"/>
            <w:bottom w:w="0" w:type="dxa"/>
            <w:right w:w="108" w:type="dxa"/>
          </w:tblCellMar>
        </w:tblPrEx>
        <w:trPr>
          <w:trHeight w:val="880"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10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指标1：超出免费质保期煤改电设备检修维护住户数</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282户</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282户</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指标2：维保社区数</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3个</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3个</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1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指标1：项目验收合格率</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17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指标1：服务时间</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2023年9月18日至2024年6月1日</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2023年9月18日至2024年6月1日</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指标1：每户巡检成本</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100元/户</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100元/户</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1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指标1：保证煤改电用户正常取暖，居民生活质量显著提升</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指标1：环境质量和卫生水平</w:t>
            </w:r>
          </w:p>
        </w:tc>
        <w:tc>
          <w:tcPr>
            <w:tcW w:w="11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118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指标1：生态环境水平</w:t>
            </w:r>
          </w:p>
        </w:tc>
        <w:tc>
          <w:tcPr>
            <w:tcW w:w="11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有所提升</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80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指标1：服务对象满意度</w:t>
            </w:r>
          </w:p>
        </w:tc>
        <w:tc>
          <w:tcPr>
            <w:tcW w:w="11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未收到关于“煤改电”12345热线，居民满意度≥90%</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未收到关于“煤改电”12345热线，居民满意度≥90%</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83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00</w:t>
            </w:r>
          </w:p>
        </w:tc>
        <w:tc>
          <w:tcPr>
            <w:tcW w:w="4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jc w:val="both"/>
      </w:pPr>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999"/>
        <w:gridCol w:w="552"/>
        <w:gridCol w:w="270"/>
        <w:gridCol w:w="228"/>
        <w:gridCol w:w="608"/>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default" w:ascii="宋体" w:hAnsi="宋体" w:cs="宋体"/>
                <w:color w:val="auto"/>
                <w:kern w:val="0"/>
                <w:sz w:val="18"/>
                <w:szCs w:val="18"/>
                <w:lang w:val="en-US" w:eastAsia="zh-CN"/>
              </w:rPr>
              <w:t>“</w:t>
            </w:r>
            <w:r>
              <w:rPr>
                <w:rFonts w:hint="eastAsia" w:ascii="宋体" w:hAnsi="宋体" w:cs="宋体"/>
                <w:color w:val="auto"/>
                <w:kern w:val="0"/>
                <w:sz w:val="18"/>
                <w:szCs w:val="18"/>
                <w:lang w:val="en-US" w:eastAsia="zh-CN"/>
              </w:rPr>
              <w:t>小微项目惠民生”项目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5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8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b w:val="0"/>
                <w:bCs w:val="0"/>
                <w:color w:val="auto"/>
                <w:kern w:val="0"/>
                <w:sz w:val="18"/>
                <w:szCs w:val="18"/>
                <w:highlight w:val="none"/>
                <w:lang w:val="en-US"/>
              </w:rPr>
            </w:pPr>
            <w:r>
              <w:rPr>
                <w:rFonts w:hint="eastAsia" w:ascii="宋体" w:hAnsi="宋体" w:cs="宋体"/>
                <w:color w:val="auto"/>
                <w:kern w:val="0"/>
                <w:sz w:val="18"/>
                <w:szCs w:val="18"/>
                <w:highlight w:val="none"/>
                <w:lang w:val="en-US" w:eastAsia="zh-CN"/>
              </w:rPr>
              <w:t>103.39</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102.04</w:t>
            </w:r>
          </w:p>
        </w:tc>
        <w:tc>
          <w:tcPr>
            <w:tcW w:w="8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98.7%</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b w:val="0"/>
                <w:bCs w:val="0"/>
                <w:color w:val="auto"/>
                <w:kern w:val="0"/>
                <w:sz w:val="18"/>
                <w:szCs w:val="18"/>
                <w:highlight w:val="none"/>
              </w:rPr>
            </w:pPr>
            <w:r>
              <w:rPr>
                <w:rFonts w:hint="eastAsia" w:ascii="宋体" w:hAnsi="宋体" w:cs="宋体"/>
                <w:color w:val="auto"/>
                <w:kern w:val="0"/>
                <w:sz w:val="18"/>
                <w:szCs w:val="18"/>
                <w:highlight w:val="none"/>
                <w:lang w:val="en-US" w:eastAsia="zh-CN"/>
              </w:rPr>
              <w:t>103.39</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102.04</w:t>
            </w:r>
          </w:p>
        </w:tc>
        <w:tc>
          <w:tcPr>
            <w:tcW w:w="8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98.7%</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8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8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按照区发改委要求，保质保量完成每年小微项目的申报、施工、验收、结算工作，有效减少辖区内</w:t>
            </w:r>
            <w:r>
              <w:rPr>
                <w:rFonts w:hint="eastAsia" w:ascii="宋体" w:hAnsi="宋体" w:cs="宋体"/>
                <w:color w:val="auto"/>
                <w:kern w:val="0"/>
                <w:sz w:val="18"/>
                <w:szCs w:val="18"/>
                <w:lang w:val="en-US" w:eastAsia="zh-CN"/>
              </w:rPr>
              <w:t>12345诉求量。</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2024年申报并完成3批共计10个小微项目，经过统计，辖区内相关类型的12345工单明显减少。</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实施项目数量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10个</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10个</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w:t>
            </w:r>
            <w:r>
              <w:rPr>
                <w:rFonts w:hint="eastAsia" w:ascii="宋体" w:hAnsi="宋体" w:cs="宋体"/>
                <w:color w:val="auto"/>
                <w:kern w:val="0"/>
                <w:sz w:val="18"/>
                <w:szCs w:val="18"/>
                <w:lang w:val="en-US" w:eastAsia="zh-CN"/>
              </w:rPr>
              <w:t>验收合格率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0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2024年12月底之前完成项目验收结算</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0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预算控制金额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≤103.39万元</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102.04</w:t>
            </w:r>
            <w:r>
              <w:rPr>
                <w:rFonts w:hint="eastAsia" w:ascii="宋体" w:hAnsi="宋体" w:cs="宋体"/>
                <w:color w:val="auto"/>
                <w:kern w:val="0"/>
                <w:sz w:val="18"/>
                <w:szCs w:val="18"/>
                <w:lang w:eastAsia="zh-CN"/>
              </w:rPr>
              <w:t>万元</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3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人居环境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000000"/>
                <w:kern w:val="0"/>
                <w:sz w:val="18"/>
                <w:szCs w:val="18"/>
                <w:u w:val="none"/>
                <w:lang w:val="en-US" w:eastAsia="zh-CN" w:bidi="ar"/>
              </w:rPr>
              <w:t>卫生水平和环境质量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w:t>
            </w:r>
            <w:r>
              <w:rPr>
                <w:rFonts w:hint="eastAsia" w:ascii="宋体" w:hAnsi="宋体" w:cs="宋体"/>
                <w:color w:val="auto"/>
                <w:kern w:val="0"/>
                <w:sz w:val="18"/>
                <w:szCs w:val="18"/>
                <w:lang w:val="en-US" w:eastAsia="zh-CN"/>
              </w:rPr>
              <w:t>改善</w:t>
            </w:r>
          </w:p>
        </w:tc>
        <w:tc>
          <w:tcPr>
            <w:tcW w:w="9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w:t>
            </w:r>
            <w:r>
              <w:rPr>
                <w:rFonts w:hint="eastAsia" w:ascii="宋体" w:hAnsi="宋体" w:cs="宋体"/>
                <w:color w:val="auto"/>
                <w:kern w:val="0"/>
                <w:sz w:val="18"/>
                <w:szCs w:val="18"/>
                <w:lang w:val="en-US" w:eastAsia="zh-CN"/>
              </w:rPr>
              <w:t>改善</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39"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项目可持续使用</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9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5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3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居民</w:t>
            </w:r>
            <w:r>
              <w:rPr>
                <w:rFonts w:hint="eastAsia" w:ascii="宋体" w:hAnsi="宋体" w:cs="宋体"/>
                <w:color w:val="auto"/>
                <w:kern w:val="0"/>
                <w:sz w:val="18"/>
                <w:szCs w:val="18"/>
                <w:lang w:val="en-US" w:eastAsia="zh-CN"/>
              </w:rPr>
              <w:t>12345诉求量</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w:t>
            </w:r>
            <w:r>
              <w:rPr>
                <w:rFonts w:hint="eastAsia" w:ascii="宋体" w:hAnsi="宋体" w:cs="宋体"/>
                <w:color w:val="auto"/>
                <w:kern w:val="0"/>
                <w:sz w:val="18"/>
                <w:szCs w:val="18"/>
                <w:lang w:val="en-US" w:eastAsia="zh-CN"/>
              </w:rPr>
              <w:t>减少</w:t>
            </w:r>
          </w:p>
        </w:tc>
        <w:tc>
          <w:tcPr>
            <w:tcW w:w="9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w:t>
            </w:r>
            <w:r>
              <w:rPr>
                <w:rFonts w:hint="eastAsia" w:ascii="宋体" w:hAnsi="宋体" w:cs="宋体"/>
                <w:color w:val="auto"/>
                <w:kern w:val="0"/>
                <w:sz w:val="18"/>
                <w:szCs w:val="18"/>
                <w:lang w:val="en-US" w:eastAsia="zh-CN"/>
              </w:rPr>
              <w:t>减少</w:t>
            </w:r>
          </w:p>
        </w:tc>
        <w:tc>
          <w:tcPr>
            <w:tcW w:w="5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57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4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95</w:t>
            </w:r>
          </w:p>
        </w:tc>
        <w:tc>
          <w:tcPr>
            <w:tcW w:w="13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
      <w:pPr>
        <w:pStyle w:val="2"/>
      </w:pPr>
    </w:p>
    <w:p/>
    <w:p>
      <w:pPr>
        <w:pStyle w:val="2"/>
      </w:pPr>
    </w:p>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310"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default" w:ascii="宋体" w:hAnsi="宋体" w:cs="宋体"/>
                <w:color w:val="auto"/>
                <w:kern w:val="0"/>
                <w:sz w:val="22"/>
                <w:lang w:val="en"/>
              </w:rPr>
              <w:t>202</w:t>
            </w:r>
            <w:r>
              <w:rPr>
                <w:rFonts w:hint="eastAsia" w:ascii="宋体" w:hAnsi="宋体" w:cs="宋体"/>
                <w:color w:val="auto"/>
                <w:kern w:val="0"/>
                <w:sz w:val="22"/>
                <w:lang w:val="en-US" w:eastAsia="zh-CN"/>
              </w:rPr>
              <w:t>4</w:t>
            </w:r>
            <w:r>
              <w:rPr>
                <w:rFonts w:hint="eastAsia" w:ascii="宋体" w:hAnsi="宋体" w:cs="宋体"/>
                <w:color w:val="auto"/>
                <w:kern w:val="0"/>
                <w:sz w:val="22"/>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违法建设拆除恢复项目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 w:eastAsia="zh-CN"/>
              </w:rPr>
            </w:pPr>
            <w:r>
              <w:rPr>
                <w:rFonts w:hint="eastAsia" w:ascii="宋体" w:hAnsi="宋体" w:cs="宋体"/>
                <w:color w:val="auto"/>
                <w:kern w:val="0"/>
                <w:sz w:val="18"/>
                <w:szCs w:val="18"/>
                <w:lang w:val="en"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4"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33.68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33.68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33.68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33.68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sz w:val="18"/>
                <w:szCs w:val="18"/>
                <w:lang w:val="en-US" w:eastAsia="zh-CN"/>
              </w:rPr>
              <w:t>开展违建拆除及恢复，为社区居民创造良好的生活居住环境。</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对杨庄街道违法建设进行拆除，</w:t>
            </w:r>
            <w:r>
              <w:rPr>
                <w:rFonts w:hint="eastAsia"/>
                <w:sz w:val="18"/>
                <w:szCs w:val="18"/>
              </w:rPr>
              <w:t>切实落实全市创无违建工作精神，完成北京市严厉打击违法用地违法建设专项行动。</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lang w:eastAsia="zh-CN"/>
              </w:rPr>
              <w:t>拆除违建数量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20处</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lang w:eastAsia="zh-CN"/>
              </w:rPr>
              <w:t>拆除质量达到合格要求</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按照合同约定工期完成</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0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拆违资金总额控制</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小于等于</w:t>
            </w:r>
            <w:r>
              <w:rPr>
                <w:rFonts w:hint="eastAsia" w:ascii="宋体" w:hAnsi="宋体" w:cs="宋体"/>
                <w:color w:val="auto"/>
                <w:kern w:val="0"/>
                <w:sz w:val="18"/>
                <w:szCs w:val="18"/>
                <w:highlight w:val="none"/>
                <w:lang w:val="en-US" w:eastAsia="zh-CN"/>
              </w:rPr>
              <w:t>33.68</w:t>
            </w:r>
            <w:r>
              <w:rPr>
                <w:rFonts w:hint="eastAsia" w:ascii="宋体" w:hAnsi="宋体" w:cs="宋体"/>
                <w:color w:val="auto"/>
                <w:kern w:val="0"/>
                <w:sz w:val="18"/>
                <w:szCs w:val="18"/>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33.68万元</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r>
      <w:tr>
        <w:tblPrEx>
          <w:tblLayout w:type="fixed"/>
          <w:tblCellMar>
            <w:top w:w="0" w:type="dxa"/>
            <w:left w:w="108" w:type="dxa"/>
            <w:bottom w:w="0" w:type="dxa"/>
            <w:right w:w="108" w:type="dxa"/>
          </w:tblCellMar>
        </w:tblPrEx>
        <w:trPr>
          <w:trHeight w:val="53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落实全市创无违建工作精神</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严格落实</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严格落实</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6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sz w:val="18"/>
                <w:szCs w:val="18"/>
                <w:lang w:val="en-US" w:eastAsia="zh-CN"/>
              </w:rPr>
              <w:t>为社区居民创造良好的生活居住环境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创造良好环境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创造良好环境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居民满意度</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地源热泵运行项目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60.61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60.61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60.61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60.61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保障地源热泵运行支出，为街道办公楼提供制冷和取暖。</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保障地源热泵低温运行和待机运行费用，维持地源热泵设备征程使用。</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维持地源热泵设备数量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1套</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1套</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保障电力供应</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确保保障</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确保保障</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2024年全年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12个月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12个月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按照国家电网收费标准缴费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依照标准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依照标准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保障街道新办公楼地源热泵正常使用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正常使用</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正常使用</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76"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指标1：服务对象满意度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
      <w:pPr>
        <w:pStyle w:val="2"/>
        <w:jc w:val="both"/>
      </w:pPr>
    </w:p>
    <w:tbl>
      <w:tblPr>
        <w:tblStyle w:val="4"/>
        <w:tblW w:w="9111" w:type="dxa"/>
        <w:jc w:val="center"/>
        <w:tblInd w:w="0" w:type="dxa"/>
        <w:tblLayout w:type="fixed"/>
        <w:tblCellMar>
          <w:top w:w="0" w:type="dxa"/>
          <w:left w:w="108" w:type="dxa"/>
          <w:bottom w:w="0" w:type="dxa"/>
          <w:right w:w="108" w:type="dxa"/>
        </w:tblCellMar>
      </w:tblPr>
      <w:tblGrid>
        <w:gridCol w:w="578"/>
        <w:gridCol w:w="969"/>
        <w:gridCol w:w="1086"/>
        <w:gridCol w:w="718"/>
        <w:gridCol w:w="780"/>
        <w:gridCol w:w="334"/>
        <w:gridCol w:w="920"/>
        <w:gridCol w:w="1048"/>
        <w:gridCol w:w="548"/>
        <w:gridCol w:w="412"/>
        <w:gridCol w:w="89"/>
        <w:gridCol w:w="747"/>
        <w:gridCol w:w="882"/>
      </w:tblGrid>
      <w:tr>
        <w:tblPrEx>
          <w:tblLayout w:type="fixed"/>
          <w:tblCellMar>
            <w:top w:w="0" w:type="dxa"/>
            <w:left w:w="108" w:type="dxa"/>
            <w:bottom w:w="0" w:type="dxa"/>
            <w:right w:w="108" w:type="dxa"/>
          </w:tblCellMar>
        </w:tblPrEx>
        <w:trPr>
          <w:trHeight w:val="440" w:hRule="exact"/>
          <w:jc w:val="center"/>
        </w:trPr>
        <w:tc>
          <w:tcPr>
            <w:tcW w:w="9111"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9111"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街道办公用房租金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966"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807" w:type="dxa"/>
            <w:gridSpan w:val="6"/>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宋体"/>
                <w:color w:val="auto"/>
                <w:kern w:val="0"/>
                <w:sz w:val="18"/>
                <w:szCs w:val="18"/>
                <w:lang w:val="en-US" w:eastAsia="zh-CN"/>
              </w:rPr>
            </w:pPr>
            <w:r>
              <w:rPr>
                <w:rFonts w:hint="eastAsia"/>
                <w:sz w:val="18"/>
                <w:szCs w:val="18"/>
                <w:lang w:val="en-US" w:eastAsia="zh-CN"/>
              </w:rPr>
              <w:t>缴纳街道办事处新办公楼2024年度租金，保障街道办公用房，为履行街道职能提供基础保障。</w:t>
            </w:r>
          </w:p>
        </w:tc>
        <w:tc>
          <w:tcPr>
            <w:tcW w:w="3726" w:type="dxa"/>
            <w:gridSpan w:val="6"/>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宋体"/>
                <w:color w:val="auto"/>
                <w:kern w:val="0"/>
                <w:sz w:val="18"/>
                <w:szCs w:val="18"/>
                <w:lang w:val="en-US" w:eastAsia="zh-CN"/>
              </w:rPr>
            </w:pPr>
            <w:r>
              <w:rPr>
                <w:rFonts w:hint="eastAsia"/>
                <w:sz w:val="18"/>
                <w:szCs w:val="18"/>
                <w:lang w:val="en-US" w:eastAsia="zh-CN"/>
              </w:rPr>
              <w:t>街道办公用房2024年度租金已按按合同约定缴纳，保障了街道办公用房，为履行街道职能提供了基础保障。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7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指标1：缴纳街道办公用房</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指标1：2024年底之前完成</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2024年底之前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2024年底之前</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689.03万元</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23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sz w:val="18"/>
                <w:szCs w:val="18"/>
                <w:lang w:val="en-US" w:eastAsia="zh-CN"/>
              </w:rPr>
              <w:t>保障街道办公用房，为履行街道职能提供基础保障</w:t>
            </w:r>
          </w:p>
        </w:tc>
        <w:tc>
          <w:tcPr>
            <w:tcW w:w="1254" w:type="dxa"/>
            <w:gridSpan w:val="2"/>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提供保障</w:t>
            </w:r>
          </w:p>
        </w:tc>
        <w:tc>
          <w:tcPr>
            <w:tcW w:w="1048" w:type="dxa"/>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提供保障</w:t>
            </w:r>
          </w:p>
        </w:tc>
        <w:tc>
          <w:tcPr>
            <w:tcW w:w="548" w:type="dxa"/>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指标1：街道办事处搬入辖区范围内，更好的为居民做好服务。</w:t>
            </w:r>
          </w:p>
        </w:tc>
        <w:tc>
          <w:tcPr>
            <w:tcW w:w="1254"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做好服务</w:t>
            </w:r>
          </w:p>
        </w:tc>
        <w:tc>
          <w:tcPr>
            <w:tcW w:w="10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做好服务</w:t>
            </w:r>
          </w:p>
        </w:tc>
        <w:tc>
          <w:tcPr>
            <w:tcW w:w="5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eastAsia="宋体" w:cs="宋体"/>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eastAsia="宋体" w:cs="宋体"/>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1254" w:type="dxa"/>
            <w:gridSpan w:val="2"/>
            <w:tcBorders>
              <w:top w:val="single" w:color="auto" w:sz="4" w:space="0"/>
              <w:left w:val="nil"/>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83" w:hRule="exact"/>
          <w:jc w:val="center"/>
        </w:trPr>
        <w:tc>
          <w:tcPr>
            <w:tcW w:w="643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
      <w:pPr>
        <w:pStyle w:val="2"/>
      </w:pPr>
      <w:bookmarkStart w:id="14" w:name="_GoBack"/>
      <w:bookmarkEnd w:id="14"/>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1050"/>
        <w:gridCol w:w="501"/>
        <w:gridCol w:w="270"/>
        <w:gridCol w:w="247"/>
        <w:gridCol w:w="589"/>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接诉即办专项经费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282.01</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282.01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282.01</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282.01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eastAsia="zh-CN"/>
              </w:rPr>
              <w:t>各社区严格落实《杨庄街道接诉即办工作专项经费使用办法》（试行）相关要求，结合实际，推动解决各类“接诉即办”诉求见实效。</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highlight w:val="none"/>
                <w:lang w:eastAsia="zh-CN"/>
              </w:rPr>
              <w:t>各社区按照制度要求，有计划地使用全年接诉即办工作专项经费，有效的解决各类“接诉即办”诉求，提升了解决率和满意率。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指标1：覆盖社区</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19个</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19个</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36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符合《杨庄街道接诉即办工作专项经费使用办法》（试行）相关要求</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符合要求</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符合要求</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如期完成项目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按期完成</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按期完成</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1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按规定使用资金</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282.01</w:t>
            </w:r>
            <w:r>
              <w:rPr>
                <w:rFonts w:hint="eastAsia" w:ascii="宋体" w:hAnsi="宋体" w:cs="宋体"/>
                <w:color w:val="auto"/>
                <w:kern w:val="0"/>
                <w:sz w:val="18"/>
                <w:szCs w:val="18"/>
                <w:highlight w:val="none"/>
                <w:lang w:val="en-US" w:eastAsia="zh-CN"/>
              </w:rPr>
              <w:t>万元</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282.01</w:t>
            </w:r>
            <w:r>
              <w:rPr>
                <w:rFonts w:hint="eastAsia" w:ascii="宋体" w:hAnsi="宋体" w:cs="宋体"/>
                <w:color w:val="auto"/>
                <w:kern w:val="0"/>
                <w:sz w:val="18"/>
                <w:szCs w:val="18"/>
                <w:highlight w:val="none"/>
                <w:lang w:val="en-US" w:eastAsia="zh-CN"/>
              </w:rPr>
              <w:t>万元</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kern w:val="0"/>
                <w:sz w:val="18"/>
                <w:szCs w:val="18"/>
              </w:rPr>
              <w:t>提升各类“接诉即办”诉求的解决率和满意率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居民满意度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居民认可</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居民认可</w:t>
            </w:r>
          </w:p>
        </w:tc>
        <w:tc>
          <w:tcPr>
            <w:tcW w:w="50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62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0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1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p>
      <w:pPr>
        <w:pStyle w:val="2"/>
      </w:pPr>
    </w:p>
    <w:p/>
    <w:p/>
    <w:p/>
    <w:tbl>
      <w:tblPr>
        <w:tblStyle w:val="4"/>
        <w:tblW w:w="9111" w:type="dxa"/>
        <w:jc w:val="center"/>
        <w:tblInd w:w="0" w:type="dxa"/>
        <w:tblLayout w:type="fixed"/>
        <w:tblCellMar>
          <w:top w:w="0" w:type="dxa"/>
          <w:left w:w="108" w:type="dxa"/>
          <w:bottom w:w="0" w:type="dxa"/>
          <w:right w:w="108" w:type="dxa"/>
        </w:tblCellMar>
      </w:tblPr>
      <w:tblGrid>
        <w:gridCol w:w="578"/>
        <w:gridCol w:w="969"/>
        <w:gridCol w:w="1086"/>
        <w:gridCol w:w="718"/>
        <w:gridCol w:w="1114"/>
        <w:gridCol w:w="920"/>
        <w:gridCol w:w="1048"/>
        <w:gridCol w:w="548"/>
        <w:gridCol w:w="412"/>
        <w:gridCol w:w="89"/>
        <w:gridCol w:w="747"/>
        <w:gridCol w:w="882"/>
      </w:tblGrid>
      <w:tr>
        <w:tblPrEx>
          <w:tblLayout w:type="fixed"/>
          <w:tblCellMar>
            <w:top w:w="0" w:type="dxa"/>
            <w:left w:w="108" w:type="dxa"/>
            <w:bottom w:w="0" w:type="dxa"/>
            <w:right w:w="108" w:type="dxa"/>
          </w:tblCellMar>
        </w:tblPrEx>
        <w:trPr>
          <w:trHeight w:val="440" w:hRule="exact"/>
          <w:jc w:val="center"/>
        </w:trPr>
        <w:tc>
          <w:tcPr>
            <w:tcW w:w="9111"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9111" w:type="dxa"/>
            <w:gridSpan w:val="1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杨庄北街社区文化室装修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29.47</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29.47</w:t>
            </w: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88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887"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807" w:type="dxa"/>
            <w:gridSpan w:val="5"/>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宋体"/>
                <w:color w:val="auto"/>
                <w:kern w:val="0"/>
                <w:sz w:val="18"/>
                <w:szCs w:val="18"/>
                <w:lang w:val="en-US" w:eastAsia="zh-CN"/>
              </w:rPr>
            </w:pPr>
            <w:r>
              <w:rPr>
                <w:rFonts w:hint="eastAsia"/>
                <w:sz w:val="18"/>
                <w:szCs w:val="18"/>
                <w:lang w:val="en-US" w:eastAsia="zh-CN"/>
              </w:rPr>
              <w:t>对杨庄北街社区朗峰嘉园小区二层公共文化配套房屋进行装修改造，面积共计225.79平方米，工程包括：对该房屋废旧墙面、地砖等进行铲除；墙面找平和粉刷；防水改造；水电改造；铺设地胶；门窗更换等。通过装修提质，改善公共文化配套条件，增加杨庄北街社区文化室使用率；发挥公共文化室功能，让居民免费享有活动空间。</w:t>
            </w:r>
          </w:p>
        </w:tc>
        <w:tc>
          <w:tcPr>
            <w:tcW w:w="3726" w:type="dxa"/>
            <w:gridSpan w:val="6"/>
            <w:tcBorders>
              <w:top w:val="single" w:color="auto" w:sz="4" w:space="0"/>
              <w:left w:val="nil"/>
              <w:bottom w:val="single" w:color="auto" w:sz="4" w:space="0"/>
              <w:right w:val="single" w:color="auto" w:sz="4" w:space="0"/>
            </w:tcBorders>
            <w:noWrap w:val="0"/>
            <w:vAlign w:val="top"/>
          </w:tcPr>
          <w:p>
            <w:pPr>
              <w:widowControl/>
              <w:jc w:val="left"/>
              <w:rPr>
                <w:rFonts w:hint="default" w:ascii="宋体" w:hAnsi="宋体" w:eastAsia="宋体" w:cs="宋体"/>
                <w:color w:val="auto"/>
                <w:kern w:val="0"/>
                <w:sz w:val="18"/>
                <w:szCs w:val="18"/>
                <w:lang w:val="en-US" w:eastAsia="zh-CN"/>
              </w:rPr>
            </w:pPr>
            <w:r>
              <w:rPr>
                <w:rFonts w:hint="eastAsia"/>
                <w:sz w:val="18"/>
                <w:szCs w:val="18"/>
                <w:lang w:val="en-US" w:eastAsia="zh-CN"/>
              </w:rPr>
              <w:t>完成杨庄北街社区朗峰嘉园小区二层公共文化配套房屋进行装修改造工作，改善了公共文化配套条件，增加了杨庄北街社区文化室使用率，发挥了公共文化室功能，让居民免费享有活动空间。</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73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指标1：装修面积</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sz w:val="18"/>
                <w:szCs w:val="18"/>
                <w:lang w:val="en-US" w:eastAsia="zh-CN"/>
              </w:rPr>
              <w:t>225.79平方米</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sz w:val="18"/>
                <w:szCs w:val="18"/>
                <w:lang w:val="en-US" w:eastAsia="zh-CN"/>
              </w:rPr>
              <w:t>225.79平方米</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质量指标</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指标1：装修质量标准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符合国家相关要求</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符合国家相关要求</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指标1：2024年底之前完成</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2024年底之前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2024年底之前</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成本</w:t>
            </w:r>
            <w:r>
              <w:rPr>
                <w:rFonts w:hint="eastAsia" w:ascii="宋体" w:hAnsi="宋体" w:cs="宋体"/>
                <w:color w:val="auto"/>
                <w:kern w:val="0"/>
                <w:sz w:val="18"/>
                <w:szCs w:val="18"/>
              </w:rPr>
              <w:t>指标</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指标1：支出金额控制</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30万元以内</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29.47万元</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Layout w:type="fixed"/>
          <w:tblCellMar>
            <w:top w:w="0" w:type="dxa"/>
            <w:left w:w="108" w:type="dxa"/>
            <w:bottom w:w="0" w:type="dxa"/>
            <w:right w:w="108" w:type="dxa"/>
          </w:tblCellMar>
        </w:tblPrEx>
        <w:trPr>
          <w:trHeight w:val="79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bookmarkStart w:id="1" w:name="OLE_LINK16"/>
            <w:r>
              <w:rPr>
                <w:rFonts w:hint="eastAsia"/>
                <w:sz w:val="18"/>
                <w:szCs w:val="18"/>
                <w:lang w:val="en-US" w:eastAsia="zh-CN"/>
              </w:rPr>
              <w:t>改善公共文化配套条件，增加使用率</w:t>
            </w:r>
            <w:bookmarkEnd w:id="1"/>
          </w:p>
        </w:tc>
        <w:tc>
          <w:tcPr>
            <w:tcW w:w="920" w:type="dxa"/>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2" w:name="OLE_LINK17"/>
            <w:r>
              <w:rPr>
                <w:rFonts w:hint="eastAsia" w:ascii="宋体" w:hAnsi="宋体" w:cs="宋体"/>
                <w:color w:val="auto"/>
                <w:kern w:val="0"/>
                <w:sz w:val="18"/>
                <w:szCs w:val="18"/>
                <w:lang w:val="en-US" w:eastAsia="zh-CN"/>
              </w:rPr>
              <w:t>有所提高</w:t>
            </w:r>
            <w:bookmarkEnd w:id="2"/>
          </w:p>
        </w:tc>
        <w:tc>
          <w:tcPr>
            <w:tcW w:w="1048" w:type="dxa"/>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sz w:val="18"/>
                <w:szCs w:val="18"/>
              </w:rPr>
              <w:t>有所提高</w:t>
            </w:r>
          </w:p>
        </w:tc>
        <w:tc>
          <w:tcPr>
            <w:tcW w:w="548" w:type="dxa"/>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83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指标1：</w:t>
            </w:r>
            <w:bookmarkStart w:id="3" w:name="OLE_LINK18"/>
            <w:r>
              <w:rPr>
                <w:rFonts w:hint="eastAsia"/>
                <w:sz w:val="18"/>
                <w:szCs w:val="18"/>
                <w:lang w:val="en-US" w:eastAsia="zh-CN"/>
              </w:rPr>
              <w:t>发挥公共文化室功能，居民免费享有活动空间</w:t>
            </w:r>
            <w:bookmarkEnd w:id="3"/>
          </w:p>
        </w:tc>
        <w:tc>
          <w:tcPr>
            <w:tcW w:w="920" w:type="dxa"/>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bookmarkStart w:id="4" w:name="OLE_LINK19"/>
            <w:r>
              <w:rPr>
                <w:rFonts w:hint="eastAsia" w:ascii="宋体" w:hAnsi="宋体" w:cs="宋体"/>
                <w:color w:val="auto"/>
                <w:kern w:val="0"/>
                <w:sz w:val="18"/>
                <w:szCs w:val="18"/>
                <w:lang w:val="en-US" w:eastAsia="zh-CN"/>
              </w:rPr>
              <w:t>有效发挥</w:t>
            </w:r>
            <w:bookmarkEnd w:id="4"/>
          </w:p>
        </w:tc>
        <w:tc>
          <w:tcPr>
            <w:tcW w:w="1048" w:type="dxa"/>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sz w:val="18"/>
                <w:szCs w:val="18"/>
              </w:rPr>
              <w:t>有效发挥</w:t>
            </w:r>
          </w:p>
        </w:tc>
        <w:tc>
          <w:tcPr>
            <w:tcW w:w="548" w:type="dxa"/>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bookmarkStart w:id="5" w:name="OLE_LINK20"/>
            <w:r>
              <w:rPr>
                <w:rFonts w:hint="eastAsia" w:ascii="宋体" w:hAnsi="宋体" w:cs="宋体"/>
                <w:color w:val="auto"/>
                <w:kern w:val="0"/>
                <w:sz w:val="18"/>
                <w:szCs w:val="18"/>
                <w:lang w:val="en-US" w:eastAsia="zh-CN"/>
              </w:rPr>
              <w:t>提升政府影响力，增强居民认同感</w:t>
            </w:r>
            <w:bookmarkEnd w:id="5"/>
          </w:p>
        </w:tc>
        <w:tc>
          <w:tcPr>
            <w:tcW w:w="920"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6" w:name="OLE_LINK21"/>
            <w:r>
              <w:rPr>
                <w:rFonts w:hint="eastAsia" w:ascii="宋体" w:hAnsi="宋体" w:cs="宋体"/>
                <w:color w:val="auto"/>
                <w:kern w:val="0"/>
                <w:sz w:val="18"/>
                <w:szCs w:val="18"/>
                <w:lang w:val="en-US" w:eastAsia="zh-CN"/>
              </w:rPr>
              <w:t>有所提升</w:t>
            </w:r>
            <w:bookmarkEnd w:id="6"/>
          </w:p>
        </w:tc>
        <w:tc>
          <w:tcPr>
            <w:tcW w:w="10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有所提升</w:t>
            </w:r>
          </w:p>
        </w:tc>
        <w:tc>
          <w:tcPr>
            <w:tcW w:w="5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10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bookmarkStart w:id="7" w:name="OLE_LINK22"/>
            <w:r>
              <w:rPr>
                <w:rFonts w:hint="eastAsia" w:ascii="宋体" w:hAnsi="宋体" w:cs="宋体"/>
                <w:color w:val="auto"/>
                <w:kern w:val="0"/>
                <w:sz w:val="18"/>
                <w:szCs w:val="18"/>
                <w:lang w:val="en-US" w:eastAsia="zh-CN"/>
              </w:rPr>
              <w:t>居民满意率</w:t>
            </w:r>
            <w:bookmarkEnd w:id="7"/>
          </w:p>
        </w:tc>
        <w:tc>
          <w:tcPr>
            <w:tcW w:w="920"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有所提升</w:t>
            </w:r>
          </w:p>
        </w:tc>
        <w:tc>
          <w:tcPr>
            <w:tcW w:w="10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有所提升</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83" w:hRule="exact"/>
          <w:jc w:val="center"/>
        </w:trPr>
        <w:tc>
          <w:tcPr>
            <w:tcW w:w="643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6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杨庄北街装修及购买办公设施设备</w:t>
            </w:r>
          </w:p>
        </w:tc>
      </w:tr>
      <w:tr>
        <w:tblPrEx>
          <w:tblLayout w:type="fixed"/>
          <w:tblCellMar>
            <w:top w:w="0" w:type="dxa"/>
            <w:left w:w="108" w:type="dxa"/>
            <w:bottom w:w="0" w:type="dxa"/>
            <w:right w:w="108" w:type="dxa"/>
          </w:tblCellMar>
        </w:tblPrEx>
        <w:trPr>
          <w:trHeight w:val="35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83.39</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81.08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83.39</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81.08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516"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为加快推进城乡社区自治组织全覆盖，进一步提高城市管理和城乡基层治理水平，为杨庄北街社区装修位于通州区怡乐园二区12号楼会所一层北侧全部房屋，面积为521.88平方米。购置必要的办公设备，包括办公电脑、笔记本、打印机等，满足社区居委会日常办公需要，</w:t>
            </w:r>
            <w:r>
              <w:rPr>
                <w:rFonts w:hint="eastAsia" w:ascii="宋体" w:hAnsi="宋体" w:cs="宋体"/>
                <w:color w:val="auto"/>
                <w:kern w:val="0"/>
                <w:sz w:val="18"/>
                <w:szCs w:val="18"/>
                <w:lang w:eastAsia="zh-CN"/>
              </w:rPr>
              <w:t>保障居委会正常为居民服务。</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完成杨庄北街社区装修。购置必要的办公设备，购置办公电脑、笔记本、打印机等，满足了社区居委会日常办公需要，</w:t>
            </w:r>
            <w:r>
              <w:rPr>
                <w:rFonts w:hint="eastAsia" w:ascii="宋体" w:hAnsi="宋体" w:cs="宋体"/>
                <w:color w:val="auto"/>
                <w:kern w:val="0"/>
                <w:sz w:val="18"/>
                <w:szCs w:val="18"/>
                <w:lang w:eastAsia="zh-CN"/>
              </w:rPr>
              <w:t>保障了居委会正常为居民服务。</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装修面积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521.88平方米</w:t>
            </w:r>
          </w:p>
        </w:tc>
        <w:tc>
          <w:tcPr>
            <w:tcW w:w="84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521.88平方米</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2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指标1：装修质量标准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符合国家相关要求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符合国家相关要求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指标1：2024年内完成该项目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指标1：支出金额控制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83.39万元以内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81.08万元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3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指标1：满足老百姓办事需求，全心全意为居民服务。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满足需求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满足需求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指标2：</w:t>
            </w:r>
            <w:bookmarkStart w:id="8" w:name="OLE_LINK23"/>
            <w:r>
              <w:rPr>
                <w:rFonts w:hint="eastAsia"/>
                <w:sz w:val="18"/>
                <w:szCs w:val="18"/>
                <w:lang w:val="en-US" w:eastAsia="zh-CN"/>
              </w:rPr>
              <w:t>保障杨庄北街社区正常办公，为辖区居民做好服务。</w:t>
            </w:r>
            <w:bookmarkEnd w:id="8"/>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bookmarkStart w:id="9" w:name="OLE_LINK24"/>
            <w:r>
              <w:rPr>
                <w:rFonts w:hint="eastAsia" w:ascii="宋体" w:hAnsi="宋体" w:cs="宋体"/>
                <w:color w:val="auto"/>
                <w:kern w:val="0"/>
                <w:sz w:val="18"/>
                <w:szCs w:val="18"/>
                <w:lang w:val="en-US" w:eastAsia="zh-CN"/>
              </w:rPr>
              <w:t>保障运行，做好服务</w:t>
            </w:r>
            <w:bookmarkEnd w:id="9"/>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保障运行，做好服务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8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bookmarkStart w:id="10" w:name="OLE_LINK25"/>
            <w:r>
              <w:rPr>
                <w:rFonts w:hint="eastAsia" w:ascii="宋体" w:hAnsi="宋体" w:cs="宋体"/>
                <w:color w:val="auto"/>
                <w:kern w:val="0"/>
                <w:sz w:val="18"/>
                <w:szCs w:val="18"/>
                <w:lang w:val="en-US" w:eastAsia="zh-CN"/>
              </w:rPr>
              <w:t>为杨庄北街</w:t>
            </w:r>
            <w:r>
              <w:rPr>
                <w:rFonts w:hint="eastAsia"/>
                <w:sz w:val="18"/>
                <w:szCs w:val="18"/>
                <w:lang w:val="en-US" w:eastAsia="zh-CN"/>
              </w:rPr>
              <w:t>社区正常办公</w:t>
            </w:r>
            <w:r>
              <w:rPr>
                <w:rFonts w:hint="eastAsia" w:ascii="宋体" w:hAnsi="宋体" w:cs="宋体"/>
                <w:color w:val="auto"/>
                <w:kern w:val="0"/>
                <w:sz w:val="18"/>
                <w:szCs w:val="18"/>
                <w:lang w:val="en-US" w:eastAsia="zh-CN"/>
              </w:rPr>
              <w:t>提供基础设施设备保障。</w:t>
            </w:r>
            <w:bookmarkEnd w:id="10"/>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bookmarkStart w:id="11" w:name="OLE_LINK26"/>
            <w:r>
              <w:rPr>
                <w:rFonts w:hint="eastAsia" w:ascii="宋体" w:hAnsi="宋体" w:cs="宋体"/>
                <w:color w:val="auto"/>
                <w:kern w:val="0"/>
                <w:sz w:val="18"/>
                <w:szCs w:val="18"/>
                <w:lang w:val="en-US" w:eastAsia="zh-CN"/>
              </w:rPr>
              <w:t>提供保障</w:t>
            </w:r>
            <w:bookmarkEnd w:id="11"/>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提供保障</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bookmarkStart w:id="12" w:name="OLE_LINK27"/>
            <w:r>
              <w:rPr>
                <w:rFonts w:hint="default" w:ascii="宋体" w:hAnsi="宋体" w:eastAsia="宋体" w:cs="宋体"/>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eastAsia="宋体" w:cs="宋体"/>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bookmarkEnd w:id="12"/>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bookmarkStart w:id="13" w:name="OLE_LINK28"/>
            <w:r>
              <w:rPr>
                <w:rFonts w:hint="eastAsia" w:ascii="宋体" w:hAnsi="宋体" w:cs="宋体"/>
                <w:color w:val="auto"/>
                <w:kern w:val="0"/>
                <w:sz w:val="18"/>
                <w:szCs w:val="18"/>
                <w:lang w:val="en-US" w:eastAsia="zh-CN"/>
              </w:rPr>
              <w:t>满足需求</w:t>
            </w:r>
            <w:bookmarkEnd w:id="13"/>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满足需求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
      <w:pPr>
        <w:pStyle w:val="2"/>
      </w:pPr>
    </w:p>
    <w:p/>
    <w:p>
      <w:pPr>
        <w:pStyle w:val="2"/>
      </w:pPr>
    </w:p>
    <w:tbl>
      <w:tblPr>
        <w:tblStyle w:val="4"/>
        <w:tblpPr w:leftFromText="180" w:rightFromText="180" w:vertAnchor="text" w:horzAnchor="page" w:tblpX="1582" w:tblpY="308"/>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 xml:space="preserve">京铁社区居民委员会办公区设施设备采购项目      </w:t>
            </w:r>
          </w:p>
        </w:tc>
      </w:tr>
      <w:tr>
        <w:tblPrEx>
          <w:tblLayout w:type="fixed"/>
          <w:tblCellMar>
            <w:top w:w="0" w:type="dxa"/>
            <w:left w:w="108" w:type="dxa"/>
            <w:bottom w:w="0" w:type="dxa"/>
            <w:right w:w="108" w:type="dxa"/>
          </w:tblCellMar>
        </w:tblPrEx>
        <w:trPr>
          <w:trHeight w:val="320" w:hRule="exact"/>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51.88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51.88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98%</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233" w:hRule="exact"/>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top"/>
          </w:tcPr>
          <w:p>
            <w:pPr>
              <w:widowControl/>
              <w:jc w:val="left"/>
              <w:rPr>
                <w:rFonts w:hint="eastAsia" w:ascii="宋体" w:hAnsi="宋体" w:eastAsia="宋体" w:cs="宋体"/>
                <w:color w:val="auto"/>
                <w:kern w:val="0"/>
                <w:sz w:val="18"/>
                <w:szCs w:val="18"/>
                <w:lang w:eastAsia="zh-CN"/>
              </w:rPr>
            </w:pPr>
            <w:r>
              <w:rPr>
                <w:rFonts w:hint="eastAsia"/>
                <w:sz w:val="18"/>
                <w:szCs w:val="18"/>
                <w:lang w:val="en-US" w:eastAsia="zh-CN"/>
              </w:rPr>
              <w:t>为京铁社区采购电子设备</w:t>
            </w:r>
            <w:r>
              <w:rPr>
                <w:rFonts w:hint="eastAsia" w:ascii="宋体" w:hAnsi="宋体" w:cs="宋体"/>
                <w:color w:val="auto"/>
                <w:kern w:val="0"/>
                <w:sz w:val="18"/>
                <w:szCs w:val="18"/>
                <w:lang w:val="en-US" w:eastAsia="zh-CN"/>
              </w:rPr>
              <w:t>和家具等</w:t>
            </w:r>
            <w:r>
              <w:rPr>
                <w:rFonts w:hint="eastAsia"/>
                <w:sz w:val="18"/>
                <w:szCs w:val="18"/>
                <w:lang w:val="en-US" w:eastAsia="zh-CN"/>
              </w:rPr>
              <w:t>，</w:t>
            </w:r>
            <w:r>
              <w:rPr>
                <w:rFonts w:hint="eastAsia" w:ascii="宋体" w:hAnsi="宋体" w:cs="宋体"/>
                <w:color w:val="auto"/>
                <w:kern w:val="0"/>
                <w:sz w:val="18"/>
                <w:szCs w:val="18"/>
                <w:lang w:val="en-US" w:eastAsia="zh-CN"/>
              </w:rPr>
              <w:t>为京铁社区居委会办公提供基础设施设备保障，</w:t>
            </w:r>
            <w:r>
              <w:rPr>
                <w:rFonts w:hint="eastAsia"/>
                <w:sz w:val="18"/>
                <w:szCs w:val="18"/>
                <w:lang w:val="en-US" w:eastAsia="zh-CN"/>
              </w:rPr>
              <w:t>保障居委会工作正常运行，为辖区居民做好服务。</w:t>
            </w:r>
          </w:p>
        </w:tc>
        <w:tc>
          <w:tcPr>
            <w:tcW w:w="3356" w:type="dxa"/>
            <w:gridSpan w:val="7"/>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color w:val="auto"/>
                <w:kern w:val="0"/>
                <w:sz w:val="18"/>
                <w:szCs w:val="18"/>
              </w:rPr>
            </w:pPr>
            <w:r>
              <w:rPr>
                <w:rFonts w:hint="eastAsia" w:ascii="宋体" w:hAnsi="宋体" w:cs="宋体"/>
                <w:color w:val="auto"/>
                <w:kern w:val="0"/>
                <w:sz w:val="18"/>
                <w:szCs w:val="18"/>
                <w:lang w:val="en-US" w:eastAsia="zh-CN"/>
              </w:rPr>
              <w:t>京铁社区居委会</w:t>
            </w:r>
            <w:r>
              <w:rPr>
                <w:rFonts w:hint="eastAsia"/>
                <w:sz w:val="18"/>
                <w:szCs w:val="18"/>
                <w:lang w:val="en-US" w:eastAsia="zh-CN"/>
              </w:rPr>
              <w:t>设施设备已购置安装到位，</w:t>
            </w:r>
            <w:r>
              <w:rPr>
                <w:rFonts w:hint="eastAsia" w:ascii="宋体" w:hAnsi="宋体" w:cs="宋体"/>
                <w:color w:val="auto"/>
                <w:kern w:val="0"/>
                <w:sz w:val="18"/>
                <w:szCs w:val="18"/>
                <w:lang w:val="en-US" w:eastAsia="zh-CN"/>
              </w:rPr>
              <w:t>为京铁社区居委会日常办公提供了基础设施设备保障，更好的服务辖区居民。</w:t>
            </w:r>
          </w:p>
        </w:tc>
      </w:tr>
      <w:tr>
        <w:tblPrEx>
          <w:tblLayout w:type="fixed"/>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484"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指标1：购置办公电子设备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426"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指标2：购置办公家具</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28"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设备设施正常使用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正常使用</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正常使用</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01"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指标1：2024年底之前完成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2024年底之前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2024年底之前</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71"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小于等于51.88万元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50.8万元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71"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eastAsia"/>
                <w:sz w:val="18"/>
                <w:szCs w:val="18"/>
                <w:lang w:val="en-US" w:eastAsia="zh-CN"/>
              </w:rPr>
              <w:t>保障京铁东社区正常办公，为辖区居民做好服务。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保障运行，做好服务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保障运行，做好服务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33" w:hRule="exact"/>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指标1：为京铁</w:t>
            </w:r>
            <w:r>
              <w:rPr>
                <w:rFonts w:hint="eastAsia"/>
                <w:sz w:val="18"/>
                <w:szCs w:val="18"/>
                <w:lang w:val="en-US" w:eastAsia="zh-CN"/>
              </w:rPr>
              <w:t>社区正常办公</w:t>
            </w:r>
            <w:r>
              <w:rPr>
                <w:rFonts w:hint="eastAsia" w:ascii="宋体" w:hAnsi="宋体" w:cs="宋体"/>
                <w:color w:val="auto"/>
                <w:kern w:val="0"/>
                <w:sz w:val="18"/>
                <w:szCs w:val="18"/>
                <w:lang w:val="en-US" w:eastAsia="zh-CN"/>
              </w:rPr>
              <w:t>提供基础设施设备保障。</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提供保障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提供保障</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26" w:hRule="exact"/>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default" w:ascii="宋体" w:hAnsi="宋体" w:eastAsia="宋体" w:cs="宋体"/>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eastAsia="宋体" w:cs="宋体"/>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满足需求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满足需求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综合文化中心隔音改造项目</w:t>
            </w:r>
          </w:p>
        </w:tc>
      </w:tr>
      <w:tr>
        <w:tblPrEx>
          <w:tblLayout w:type="fixed"/>
          <w:tblCellMar>
            <w:top w:w="0" w:type="dxa"/>
            <w:left w:w="108" w:type="dxa"/>
            <w:bottom w:w="0" w:type="dxa"/>
            <w:right w:w="108" w:type="dxa"/>
          </w:tblCellMar>
        </w:tblPrEx>
        <w:trPr>
          <w:trHeight w:val="33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4.96</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4.96</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4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在综合文化中心南侧窗户加装隔音岩棉，改善隔音条件，有效降低文化中心活动对周边居民的影响，更好的发挥综合文化中心功能。</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通过在综合文化中心南侧窗户加装隔音岩棉，改善了文化中心的隔音条件，有效降低了文化中心活动对周边居民的影响，更好的发挥了综合文化中心功能。</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指标1：改造面积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160平方米</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160平方米</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指标1：安装质量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符合国家相关标准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符合国家相关标准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指标1：2024年12月底前完成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2024年12月底前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2024年12月底前</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5万元以内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4.96万元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2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指标1：减少对周边居民的噪音影响，发挥综合文化中心功能</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有效减少</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9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指标1：提升政府影响力，增强居民认同感</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9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指标1：满足辖区居民文化活动需求，更好为居民服务</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满足需求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满足需求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p/>
    <w:p>
      <w:pPr>
        <w:pStyle w:val="2"/>
      </w:pPr>
    </w:p>
    <w:p/>
    <w:p>
      <w:pPr>
        <w:pStyle w:val="2"/>
      </w:pPr>
    </w:p>
    <w:p/>
    <w:tbl>
      <w:tblPr>
        <w:tblStyle w:val="4"/>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 xml:space="preserve">怡乐园东社区居委会装修和房租项目    </w:t>
            </w:r>
          </w:p>
        </w:tc>
      </w:tr>
      <w:tr>
        <w:tblPrEx>
          <w:tblLayout w:type="fixed"/>
          <w:tblCellMar>
            <w:top w:w="0" w:type="dxa"/>
            <w:left w:w="108" w:type="dxa"/>
            <w:bottom w:w="0" w:type="dxa"/>
            <w:right w:w="108" w:type="dxa"/>
          </w:tblCellMar>
        </w:tblPrEx>
        <w:trPr>
          <w:trHeight w:val="342"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76.25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76.25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76.25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76.25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Layout w:type="fixed"/>
          <w:tblCellMar>
            <w:top w:w="0" w:type="dxa"/>
            <w:left w:w="108" w:type="dxa"/>
            <w:bottom w:w="0" w:type="dxa"/>
            <w:right w:w="108" w:type="dxa"/>
          </w:tblCellMar>
        </w:tblPrEx>
        <w:trPr>
          <w:trHeight w:val="106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缴纳怡乐园东社区办公用房租金，开展怡乐园东社区办公用房装修项目，保障社区办公正常开展，为辖区居民做好服务。</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已缴纳怡乐园东社区办公用房租金，完成怡乐园东社区办公用房装修项目，保障了社区办公正常开展，为辖区居民做好服务。</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Layout w:type="fixed"/>
          <w:tblCellMar>
            <w:top w:w="0" w:type="dxa"/>
            <w:left w:w="108" w:type="dxa"/>
            <w:bottom w:w="0" w:type="dxa"/>
            <w:right w:w="108" w:type="dxa"/>
          </w:tblCellMar>
        </w:tblPrEx>
        <w:trPr>
          <w:trHeight w:val="55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装修面积</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530平方米</w:t>
            </w:r>
          </w:p>
        </w:tc>
        <w:tc>
          <w:tcPr>
            <w:tcW w:w="848" w:type="dxa"/>
            <w:tcBorders>
              <w:top w:val="nil"/>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530平方米</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指标1：装修质量标准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符合国家相关要求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符合国家相关要求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指标1：2024年内完成该项目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2024年内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2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指标1：支出</w:t>
            </w:r>
            <w:r>
              <w:rPr>
                <w:rFonts w:hint="eastAsia" w:ascii="宋体" w:hAnsi="宋体" w:cs="宋体"/>
                <w:color w:val="auto"/>
                <w:kern w:val="0"/>
                <w:sz w:val="18"/>
                <w:szCs w:val="18"/>
                <w:lang w:eastAsia="zh-CN"/>
              </w:rPr>
              <w:t>金额控制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小于等于76.25万元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76.25万元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eastAsia"/>
                <w:sz w:val="18"/>
                <w:szCs w:val="18"/>
                <w:lang w:val="en-US" w:eastAsia="zh-CN"/>
              </w:rPr>
              <w:t>保障</w:t>
            </w:r>
            <w:r>
              <w:rPr>
                <w:rFonts w:hint="eastAsia" w:ascii="宋体" w:hAnsi="宋体" w:cs="宋体"/>
                <w:color w:val="auto"/>
                <w:kern w:val="0"/>
                <w:sz w:val="18"/>
                <w:szCs w:val="18"/>
                <w:lang w:eastAsia="zh-CN"/>
              </w:rPr>
              <w:t>怡乐园东</w:t>
            </w:r>
            <w:r>
              <w:rPr>
                <w:rFonts w:hint="eastAsia"/>
                <w:sz w:val="18"/>
                <w:szCs w:val="18"/>
                <w:lang w:val="en-US" w:eastAsia="zh-CN"/>
              </w:rPr>
              <w:t>社区办公正常开展，为辖区居民做好服务。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保障办公，做好服务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保障办公，做好服务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5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指标1：为</w:t>
            </w:r>
            <w:r>
              <w:rPr>
                <w:rFonts w:hint="eastAsia" w:ascii="宋体" w:hAnsi="宋体" w:cs="宋体"/>
                <w:color w:val="auto"/>
                <w:kern w:val="0"/>
                <w:sz w:val="18"/>
                <w:szCs w:val="18"/>
                <w:lang w:eastAsia="zh-CN"/>
              </w:rPr>
              <w:t>怡乐园东</w:t>
            </w:r>
            <w:r>
              <w:rPr>
                <w:rFonts w:hint="eastAsia" w:ascii="宋体" w:hAnsi="宋体" w:cs="宋体"/>
                <w:color w:val="auto"/>
                <w:kern w:val="0"/>
                <w:sz w:val="18"/>
                <w:szCs w:val="18"/>
                <w:lang w:val="en-US" w:eastAsia="zh-CN"/>
              </w:rPr>
              <w:t>社区居委会开展工作，提供房屋保障。</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提供保障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提供保障</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73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w:t>
            </w:r>
            <w:r>
              <w:rPr>
                <w:rFonts w:hint="default" w:ascii="宋体" w:hAnsi="宋体" w:eastAsia="宋体" w:cs="宋体"/>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eastAsia="宋体" w:cs="宋体"/>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满足需求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满足需求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A1DDC"/>
    <w:rsid w:val="30842DD7"/>
    <w:rsid w:val="41835FD8"/>
    <w:rsid w:val="459A1DDC"/>
    <w:rsid w:val="49750DE4"/>
    <w:rsid w:val="732A0202"/>
    <w:rsid w:val="7E8F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b/>
      <w:bCs/>
      <w:kern w:val="44"/>
      <w:sz w:val="36"/>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2025-09-17T06:40:00Z</dcterms:created>
  <dc:creator>Lenovo</dc:creator>
  <cp:lastModifiedBy>Lenovo</cp:lastModifiedBy>
  <dcterms:modified xsi:type="dcterms:W3CDTF">2025-09-18T06:35:07Z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