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城市最低生活保障金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困难群众救助服务中心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谢科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89536350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2824.42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2824.42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2824.42</w:t>
            </w:r>
            <w:bookmarkEnd w:id="0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2824.42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社会保障局关于印发《北京市城乡居民最低生活保障及低收入家庭救助制度实施细则》的通知（京民社救发〔2018〕445号）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以及《北京市最低生活保障和低收入家庭救助审核确认办法》的通知（京民社救发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[2022]321号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文件要求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，切实保障城市低保人员的基本生活需求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。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</w:rPr>
              <w:t>按标准每月发放生活保障金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救助标准逐年提高，低保资金及时发放到位。低保家庭得到及时帮助。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城低保对象户数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1029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社会救助家庭覆盖范围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应保尽保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应保尽保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社会化发放率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逐年提升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低保金发放频率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按照政策要求，按月发放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足额按月发放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资金发放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每月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10前发放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按时发放完毕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保障金标准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东文宋体" w:cs="宋体"/>
                <w:color w:val="auto"/>
                <w:kern w:val="0"/>
                <w:sz w:val="18"/>
                <w:szCs w:val="18"/>
                <w:lang w:val="en-US" w:eastAsia="zh-CN"/>
              </w:rPr>
              <w:t>1395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1450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困难群众基本生活得到保障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效果显著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保障困难群众基本生活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为困难群众办实事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保障困难群众基本生活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切实保障困难群众基本生活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43EBA"/>
    <w:rsid w:val="0BA5545D"/>
    <w:rsid w:val="3DCD460A"/>
    <w:rsid w:val="56E95AA2"/>
    <w:rsid w:val="7BF43EBA"/>
    <w:rsid w:val="7EF2936E"/>
    <w:rsid w:val="BFECAB7A"/>
    <w:rsid w:val="CFE71430"/>
    <w:rsid w:val="D7FBB21C"/>
    <w:rsid w:val="FDFF464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uiPriority w:val="0"/>
    <w:pPr>
      <w:widowControl w:val="0"/>
      <w:ind w:left="840" w:leftChars="4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2024-04-11T02:09:00Z</dcterms:created>
  <dc:creator>user</dc:creator>
  <cp:lastModifiedBy>mzj</cp:lastModifiedBy>
  <dcterms:modified xsi:type="dcterms:W3CDTF">2025-03-09T11:50:03Z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