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8928" w:type="dxa"/>
        <w:jc w:val="center"/>
        <w:tblInd w:w="0" w:type="dxa"/>
        <w:tblLayout w:type="fixed"/>
        <w:tblCellMar>
          <w:top w:w="0" w:type="dxa"/>
          <w:left w:w="108" w:type="dxa"/>
          <w:bottom w:w="0" w:type="dxa"/>
          <w:right w:w="108" w:type="dxa"/>
        </w:tblCellMar>
      </w:tblPr>
      <w:tblGrid>
        <w:gridCol w:w="578"/>
        <w:gridCol w:w="969"/>
        <w:gridCol w:w="1086"/>
        <w:gridCol w:w="718"/>
        <w:gridCol w:w="1114"/>
        <w:gridCol w:w="169"/>
        <w:gridCol w:w="938"/>
        <w:gridCol w:w="848"/>
        <w:gridCol w:w="202"/>
        <w:gridCol w:w="355"/>
        <w:gridCol w:w="416"/>
        <w:gridCol w:w="141"/>
        <w:gridCol w:w="695"/>
        <w:gridCol w:w="699"/>
      </w:tblGrid>
      <w:tr>
        <w:tblPrEx>
          <w:tblLayout w:type="fixed"/>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vAlign w:val="top"/>
          </w:tcPr>
          <w:p>
            <w:pPr>
              <w:widowControl/>
              <w:jc w:val="center"/>
              <w:rPr>
                <w:rFonts w:ascii="宋体" w:hAnsi="宋体" w:cs="宋体"/>
                <w:color w:val="auto"/>
                <w:kern w:val="0"/>
                <w:sz w:val="22"/>
              </w:rPr>
            </w:pPr>
            <w:r>
              <w:rPr>
                <w:rFonts w:hint="eastAsia" w:ascii="宋体" w:hAnsi="宋体" w:cs="宋体"/>
                <w:color w:val="auto"/>
                <w:kern w:val="0"/>
                <w:sz w:val="22"/>
              </w:rPr>
              <w:t>（</w:t>
            </w:r>
            <w:r>
              <w:rPr>
                <w:rFonts w:hint="eastAsia" w:ascii="宋体" w:hAnsi="宋体" w:cs="宋体"/>
                <w:color w:val="auto"/>
                <w:kern w:val="0"/>
                <w:sz w:val="22"/>
                <w:lang w:val="en-US" w:eastAsia="zh-CN"/>
              </w:rPr>
              <w:t>2024</w:t>
            </w:r>
            <w:r>
              <w:rPr>
                <w:rFonts w:hint="eastAsia" w:ascii="宋体" w:hAnsi="宋体" w:cs="宋体"/>
                <w:color w:val="auto"/>
                <w:kern w:val="0"/>
                <w:sz w:val="22"/>
              </w:rPr>
              <w:t>年度）</w:t>
            </w:r>
          </w:p>
        </w:tc>
      </w:tr>
      <w:tr>
        <w:tblPrEx>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bookmarkStart w:id="0" w:name="OLE_LINK1"/>
            <w:r>
              <w:rPr>
                <w:rFonts w:hint="eastAsia" w:ascii="宋体" w:hAnsi="宋体" w:cs="宋体"/>
                <w:color w:val="auto"/>
                <w:kern w:val="0"/>
                <w:sz w:val="18"/>
                <w:szCs w:val="18"/>
              </w:rPr>
              <w:t>未成年人救助保护服务</w:t>
            </w:r>
            <w:bookmarkEnd w:id="0"/>
          </w:p>
        </w:tc>
      </w:tr>
      <w:tr>
        <w:tblPrEx>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北京市通州区民政局</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实施单位</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北京市通州区民政局</w:t>
            </w:r>
          </w:p>
        </w:tc>
      </w:tr>
      <w:tr>
        <w:tblPrEx>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刘嵩</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lang w:val="en-US" w:eastAsia="zh-CN" w:bidi="ar-SA"/>
              </w:rPr>
            </w:pPr>
            <w:r>
              <w:rPr>
                <w:rFonts w:ascii="宋体" w:hAnsi="宋体" w:cs="宋体"/>
                <w:color w:val="auto"/>
                <w:kern w:val="0"/>
                <w:sz w:val="18"/>
                <w:szCs w:val="18"/>
              </w:rPr>
              <w:t>联系电话</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61519200</w:t>
            </w:r>
          </w:p>
        </w:tc>
      </w:tr>
      <w:tr>
        <w:tblPrEx>
          <w:tblLayout w:type="fixed"/>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60</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60</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60</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textDirection w:val="lrTb"/>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其中：</w:t>
            </w:r>
            <w:r>
              <w:rPr>
                <w:rFonts w:hint="eastAsia" w:ascii="宋体" w:hAnsi="宋体" w:cs="宋体"/>
                <w:color w:val="auto"/>
                <w:kern w:val="0"/>
                <w:sz w:val="18"/>
                <w:szCs w:val="18"/>
                <w:lang w:eastAsia="zh-CN"/>
              </w:rPr>
              <w:t>区级资金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60</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60</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60</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textDirection w:val="lrTb"/>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w:t>
            </w:r>
            <w:r>
              <w:rPr>
                <w:rFonts w:hint="eastAsia" w:ascii="宋体" w:hAnsi="宋体" w:cs="宋体"/>
                <w:color w:val="auto"/>
                <w:kern w:val="0"/>
                <w:sz w:val="18"/>
                <w:szCs w:val="18"/>
                <w:lang w:eastAsia="zh-CN"/>
              </w:rPr>
              <w:t>中央及市级资金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textDirection w:val="lrTb"/>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Layout w:type="fixed"/>
          <w:tblCellMar>
            <w:top w:w="0" w:type="dxa"/>
            <w:left w:w="108" w:type="dxa"/>
            <w:bottom w:w="0" w:type="dxa"/>
            <w:right w:w="108" w:type="dxa"/>
          </w:tblCellMar>
        </w:tblPrEx>
        <w:trPr>
          <w:trHeight w:val="6830"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根据《国务院关于加强农村留守儿童关爱保护工作的意见》（国发〔2016〕13号）、《国务院关于加强困境儿童保障工作的意见》（国发〔2016〕36号）、《民政部关于进一步健全农村留守儿童和困境儿童关爱服务体系的意见》（民发〔2019〕34号）、《关于建立北京市困境儿童分类保障制度的意见》（京民福发〔2016〕228号）、北京市民政局 北京市财政局等14家单位《关于进一步加强事实无人抚养儿童保障工作的实施意见》（京社委儿福发〔2019〕36号）和《未成年人保护法》有关要求：“各地要将农村留守儿童关爱保护和困境儿童保障纳入政府购买服务指导性目录，并结合实际需要做好资金保障，重点购买走访核查、热线运行、监护评估、精准帮扶、政策宣传、业务培训、家庭探访督导检查等关爱服务。支持社会工作者、法律工作者、心理咨询工作者等专业人员，针对农村留守儿童和困境儿童不同特点，提供心理疏导、亲情关爱、权益维护等服务。”区民政局拟以政府购买服务的形式，引入法律服务机构和专业社会组织，加强农村留守儿童和困境儿童的关爱服务工作，加强基层未成年人救助保护业务工作能力。</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根据《国务院关于加强农村留守儿童关爱保护工作的意见》（国发〔2016〕13号）、《国务院关于加强困境儿童保障工作的意见》（国发〔2016〕36号）、《民政部关于进一步健全农村留守儿童和困境儿童关爱服务体系的意见》（民发〔2019〕34号）、《关于建立北京市困境儿童分类保障制度的意见》（京民福发〔2016〕228号）、北京市民政局 北京市财政局等14家单位《关于进一步加强事实无人抚养儿童保障工作的实施意见》（京社委儿福发〔2019〕36号）和《未成年人保护法》有关要求：“各地要将农村留守儿童关爱保护和困境儿童保障纳入政府购买服务指导性目录，并结合实际需要做好资金保障，重点购买走访核查、热线运行、监护评估、精准帮扶、政策宣传、业务培训、家庭探访督导检查等关爱服务。支持社会工作者、法律工作者、心理咨询工作者等专业人员，针对农村留守儿童和困境儿童不同特点，提供心理疏导、亲情关爱、权益维护等服务。”区民政局以政府购买服务的形式，引入法律服务机构和专业社会组织，加强农村留守儿童和困境儿童的关爱服务工作，加强基层未成年人救助保护业务工作能力。</w:t>
            </w:r>
          </w:p>
        </w:tc>
      </w:tr>
      <w:tr>
        <w:tblPrEx>
          <w:tblLayout w:type="fixed"/>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Layout w:type="fixed"/>
          <w:tblCellMar>
            <w:top w:w="0" w:type="dxa"/>
            <w:left w:w="108" w:type="dxa"/>
            <w:bottom w:w="0" w:type="dxa"/>
            <w:right w:w="108" w:type="dxa"/>
          </w:tblCellMar>
        </w:tblPrEx>
        <w:trPr>
          <w:trHeight w:val="86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指标1：政府购买服务项目数量</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eastAsia="宋体" w:cs="宋体"/>
                <w:color w:val="auto"/>
                <w:kern w:val="0"/>
                <w:sz w:val="18"/>
                <w:szCs w:val="18"/>
                <w:lang w:val="en-US" w:eastAsia="zh-CN"/>
              </w:rPr>
              <w:t>≥</w:t>
            </w:r>
            <w:r>
              <w:rPr>
                <w:rFonts w:hint="eastAsia" w:ascii="宋体" w:hAnsi="宋体" w:cs="宋体"/>
                <w:color w:val="auto"/>
                <w:kern w:val="0"/>
                <w:sz w:val="18"/>
                <w:szCs w:val="18"/>
                <w:lang w:val="en-US" w:eastAsia="zh-CN"/>
              </w:rPr>
              <w:t>3个</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4个</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63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001"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default" w:ascii="宋体" w:hAnsi="宋体" w:cs="宋体"/>
                <w:color w:val="auto"/>
                <w:kern w:val="0"/>
                <w:sz w:val="18"/>
                <w:szCs w:val="18"/>
                <w:lang w:val="en-US"/>
              </w:rPr>
            </w:pPr>
            <w:r>
              <w:rPr>
                <w:rFonts w:hint="eastAsia" w:ascii="宋体" w:hAnsi="宋体" w:cs="宋体"/>
                <w:color w:val="000000"/>
                <w:kern w:val="0"/>
                <w:sz w:val="20"/>
                <w:szCs w:val="20"/>
                <w:highlight w:val="none"/>
              </w:rPr>
              <w:t>指标</w:t>
            </w:r>
            <w:r>
              <w:rPr>
                <w:rFonts w:ascii="宋体" w:hAnsi="宋体" w:cs="宋体"/>
                <w:color w:val="000000"/>
                <w:kern w:val="0"/>
                <w:sz w:val="20"/>
                <w:szCs w:val="20"/>
                <w:highlight w:val="none"/>
              </w:rPr>
              <w:t>1：</w:t>
            </w:r>
            <w:r>
              <w:rPr>
                <w:rFonts w:hint="eastAsia" w:ascii="宋体" w:hAnsi="宋体" w:cs="宋体"/>
                <w:color w:val="000000"/>
                <w:kern w:val="0"/>
                <w:sz w:val="20"/>
                <w:szCs w:val="20"/>
                <w:highlight w:val="none"/>
                <w:lang w:val="en-US" w:eastAsia="zh-CN"/>
              </w:rPr>
              <w:t>项目按协议约定工作推进程度</w:t>
            </w:r>
          </w:p>
        </w:tc>
        <w:tc>
          <w:tcPr>
            <w:tcW w:w="938" w:type="dxa"/>
            <w:tcBorders>
              <w:top w:val="nil"/>
              <w:left w:val="nil"/>
              <w:bottom w:val="single" w:color="auto" w:sz="4" w:space="0"/>
              <w:right w:val="single" w:color="auto" w:sz="4" w:space="0"/>
            </w:tcBorders>
            <w:vAlign w:val="center"/>
          </w:tcPr>
          <w:p>
            <w:pPr>
              <w:spacing w:line="240" w:lineRule="exact"/>
              <w:jc w:val="both"/>
              <w:rPr>
                <w:rFonts w:ascii="宋体" w:hAnsi="宋体" w:cs="宋体"/>
                <w:color w:val="auto"/>
                <w:kern w:val="0"/>
                <w:sz w:val="18"/>
                <w:szCs w:val="18"/>
              </w:rPr>
            </w:pPr>
            <w:r>
              <w:rPr>
                <w:rFonts w:hint="eastAsia" w:ascii="宋体" w:hAnsi="宋体" w:eastAsia="宋体" w:cs="宋体"/>
                <w:kern w:val="0"/>
                <w:sz w:val="20"/>
                <w:szCs w:val="20"/>
                <w:highlight w:val="none"/>
                <w:lang w:val="en-US" w:eastAsia="zh-CN"/>
              </w:rPr>
              <w:t>≥95%</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765"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001"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000000"/>
                <w:kern w:val="0"/>
                <w:sz w:val="20"/>
                <w:szCs w:val="20"/>
              </w:rPr>
              <w:t>指标</w:t>
            </w:r>
            <w:r>
              <w:rPr>
                <w:rFonts w:ascii="宋体" w:hAnsi="宋体" w:cs="宋体"/>
                <w:color w:val="000000"/>
                <w:kern w:val="0"/>
                <w:sz w:val="20"/>
                <w:szCs w:val="20"/>
              </w:rPr>
              <w:t>1：</w:t>
            </w:r>
            <w:r>
              <w:rPr>
                <w:rFonts w:hint="eastAsia" w:ascii="宋体" w:hAnsi="宋体" w:cs="宋体"/>
                <w:color w:val="auto"/>
                <w:kern w:val="0"/>
                <w:sz w:val="18"/>
                <w:szCs w:val="18"/>
              </w:rPr>
              <w:t>未成年人救助保护</w:t>
            </w:r>
            <w:r>
              <w:rPr>
                <w:rFonts w:hint="eastAsia" w:ascii="宋体" w:hAnsi="宋体" w:cs="宋体"/>
                <w:color w:val="auto"/>
                <w:kern w:val="0"/>
                <w:sz w:val="18"/>
                <w:szCs w:val="18"/>
                <w:lang w:val="en-US" w:eastAsia="zh-CN"/>
              </w:rPr>
              <w:t>类服务项目服务期限</w:t>
            </w:r>
          </w:p>
        </w:tc>
        <w:tc>
          <w:tcPr>
            <w:tcW w:w="938" w:type="dxa"/>
            <w:tcBorders>
              <w:top w:val="nil"/>
              <w:left w:val="nil"/>
              <w:bottom w:val="single" w:color="auto" w:sz="4" w:space="0"/>
              <w:right w:val="single" w:color="auto" w:sz="4" w:space="0"/>
            </w:tcBorders>
            <w:vAlign w:val="center"/>
          </w:tcPr>
          <w:p>
            <w:pPr>
              <w:spacing w:line="240" w:lineRule="exact"/>
              <w:jc w:val="both"/>
              <w:rPr>
                <w:rFonts w:hint="default" w:ascii="宋体" w:hAnsi="宋体" w:cs="宋体"/>
                <w:color w:val="auto"/>
                <w:kern w:val="0"/>
                <w:sz w:val="18"/>
                <w:szCs w:val="18"/>
                <w:lang w:val="en-US"/>
              </w:rPr>
            </w:pPr>
            <w:r>
              <w:rPr>
                <w:rFonts w:hint="eastAsia" w:ascii="宋体" w:hAnsi="宋体" w:cs="宋体"/>
                <w:kern w:val="0"/>
                <w:sz w:val="20"/>
                <w:szCs w:val="20"/>
                <w:lang w:val="en-US" w:eastAsia="zh-CN"/>
              </w:rPr>
              <w:t>=1年</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kern w:val="0"/>
                <w:sz w:val="20"/>
                <w:szCs w:val="20"/>
                <w:lang w:val="en-US" w:eastAsia="zh-CN"/>
              </w:rPr>
              <w:t>1年</w:t>
            </w: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72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2001"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cs="宋体"/>
                <w:color w:val="auto"/>
                <w:kern w:val="0"/>
                <w:sz w:val="18"/>
                <w:szCs w:val="18"/>
              </w:rPr>
            </w:pPr>
            <w:r>
              <w:rPr>
                <w:rFonts w:hint="eastAsia" w:ascii="宋体" w:hAnsi="宋体" w:cs="宋体"/>
                <w:color w:val="000000"/>
                <w:kern w:val="0"/>
                <w:sz w:val="20"/>
                <w:szCs w:val="20"/>
              </w:rPr>
              <w:t>指标</w:t>
            </w:r>
            <w:r>
              <w:rPr>
                <w:rFonts w:ascii="宋体" w:hAnsi="宋体" w:cs="宋体"/>
                <w:color w:val="000000"/>
                <w:kern w:val="0"/>
                <w:sz w:val="20"/>
                <w:szCs w:val="20"/>
              </w:rPr>
              <w:t>1：</w:t>
            </w:r>
            <w:r>
              <w:rPr>
                <w:rFonts w:hint="eastAsia" w:ascii="宋体" w:hAnsi="宋体" w:cs="宋体"/>
                <w:color w:val="000000"/>
                <w:kern w:val="0"/>
                <w:sz w:val="20"/>
                <w:szCs w:val="20"/>
                <w:lang w:val="en-US" w:eastAsia="zh-CN"/>
              </w:rPr>
              <w:t>政府购买服务项目投入总金额</w:t>
            </w:r>
          </w:p>
        </w:tc>
        <w:tc>
          <w:tcPr>
            <w:tcW w:w="938" w:type="dxa"/>
            <w:tcBorders>
              <w:top w:val="nil"/>
              <w:left w:val="nil"/>
              <w:bottom w:val="single" w:color="auto" w:sz="4" w:space="0"/>
              <w:right w:val="single" w:color="auto" w:sz="4" w:space="0"/>
            </w:tcBorders>
            <w:vAlign w:val="center"/>
          </w:tcPr>
          <w:p>
            <w:pPr>
              <w:spacing w:line="240" w:lineRule="exact"/>
              <w:jc w:val="both"/>
              <w:rPr>
                <w:rFonts w:ascii="宋体" w:hAnsi="宋体" w:cs="宋体"/>
                <w:color w:val="auto"/>
                <w:kern w:val="0"/>
                <w:sz w:val="18"/>
                <w:szCs w:val="18"/>
              </w:rPr>
            </w:pPr>
            <w:r>
              <w:rPr>
                <w:rFonts w:hint="eastAsia" w:ascii="宋体" w:hAnsi="宋体" w:eastAsia="宋体" w:cs="宋体"/>
                <w:kern w:val="0"/>
                <w:sz w:val="20"/>
                <w:szCs w:val="20"/>
                <w:lang w:val="en-US" w:eastAsia="zh-CN"/>
              </w:rPr>
              <w:t>≤</w:t>
            </w:r>
            <w:r>
              <w:rPr>
                <w:rFonts w:hint="eastAsia" w:ascii="宋体" w:hAnsi="宋体" w:cs="宋体"/>
                <w:kern w:val="0"/>
                <w:sz w:val="20"/>
                <w:szCs w:val="20"/>
                <w:lang w:val="en-US" w:eastAsia="zh-CN"/>
              </w:rPr>
              <w:t>60万元</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60万元</w:t>
            </w: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78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08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cs="宋体"/>
                <w:color w:val="auto"/>
                <w:kern w:val="0"/>
                <w:sz w:val="18"/>
                <w:szCs w:val="18"/>
              </w:rPr>
            </w:pPr>
            <w:r>
              <w:rPr>
                <w:rFonts w:hint="eastAsia" w:ascii="宋体" w:hAnsi="宋体" w:cs="宋体"/>
                <w:color w:val="000000"/>
                <w:kern w:val="0"/>
                <w:sz w:val="20"/>
                <w:szCs w:val="20"/>
              </w:rPr>
              <w:t>指标</w:t>
            </w:r>
            <w:r>
              <w:rPr>
                <w:rFonts w:ascii="宋体" w:hAnsi="宋体" w:cs="宋体"/>
                <w:color w:val="000000"/>
                <w:kern w:val="0"/>
                <w:sz w:val="20"/>
                <w:szCs w:val="20"/>
              </w:rPr>
              <w:t>1：</w:t>
            </w:r>
            <w:r>
              <w:rPr>
                <w:rFonts w:hint="eastAsia" w:ascii="宋体" w:hAnsi="宋体" w:cs="宋体"/>
                <w:color w:val="000000"/>
                <w:kern w:val="0"/>
                <w:sz w:val="20"/>
                <w:szCs w:val="20"/>
                <w:lang w:val="en-US" w:eastAsia="zh-CN"/>
              </w:rPr>
              <w:t>项目服务的保障对象妥善保障率</w:t>
            </w:r>
          </w:p>
        </w:tc>
        <w:tc>
          <w:tcPr>
            <w:tcW w:w="938" w:type="dxa"/>
            <w:tcBorders>
              <w:top w:val="nil"/>
              <w:left w:val="nil"/>
              <w:bottom w:val="single" w:color="auto" w:sz="4" w:space="0"/>
              <w:right w:val="single" w:color="auto" w:sz="4" w:space="0"/>
            </w:tcBorders>
            <w:vAlign w:val="center"/>
          </w:tcPr>
          <w:p>
            <w:pPr>
              <w:spacing w:line="240" w:lineRule="exact"/>
              <w:jc w:val="both"/>
              <w:rPr>
                <w:rFonts w:ascii="宋体" w:hAnsi="宋体" w:cs="宋体"/>
                <w:color w:val="auto"/>
                <w:kern w:val="0"/>
                <w:sz w:val="18"/>
                <w:szCs w:val="18"/>
              </w:rPr>
            </w:pPr>
            <w:r>
              <w:rPr>
                <w:rFonts w:hint="eastAsia" w:ascii="宋体" w:hAnsi="宋体" w:eastAsia="宋体" w:cs="宋体"/>
                <w:kern w:val="0"/>
                <w:sz w:val="20"/>
                <w:szCs w:val="20"/>
                <w:lang w:val="en-US" w:eastAsia="zh-CN"/>
              </w:rPr>
              <w:t>≥95%</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93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001"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cs="宋体"/>
                <w:color w:val="auto"/>
                <w:kern w:val="0"/>
                <w:sz w:val="18"/>
                <w:szCs w:val="18"/>
              </w:rPr>
            </w:pPr>
            <w:r>
              <w:rPr>
                <w:rFonts w:hint="eastAsia" w:ascii="宋体" w:hAnsi="宋体" w:cs="宋体"/>
                <w:color w:val="000000"/>
                <w:kern w:val="0"/>
                <w:sz w:val="20"/>
                <w:szCs w:val="20"/>
              </w:rPr>
              <w:t>指标</w:t>
            </w:r>
            <w:r>
              <w:rPr>
                <w:rFonts w:ascii="宋体" w:hAnsi="宋体" w:cs="宋体"/>
                <w:color w:val="000000"/>
                <w:kern w:val="0"/>
                <w:sz w:val="20"/>
                <w:szCs w:val="20"/>
              </w:rPr>
              <w:t>1：</w:t>
            </w:r>
            <w:r>
              <w:rPr>
                <w:rFonts w:hint="eastAsia" w:ascii="宋体" w:hAnsi="宋体" w:cs="宋体"/>
                <w:color w:val="000000"/>
                <w:kern w:val="0"/>
                <w:sz w:val="20"/>
                <w:szCs w:val="20"/>
                <w:lang w:val="en-US" w:eastAsia="zh-CN"/>
              </w:rPr>
              <w:t>受助儿童及家庭满意度</w:t>
            </w:r>
          </w:p>
        </w:tc>
        <w:tc>
          <w:tcPr>
            <w:tcW w:w="938" w:type="dxa"/>
            <w:tcBorders>
              <w:top w:val="single" w:color="auto" w:sz="4" w:space="0"/>
              <w:left w:val="nil"/>
              <w:bottom w:val="single" w:color="auto" w:sz="4" w:space="0"/>
              <w:right w:val="single" w:color="auto" w:sz="4" w:space="0"/>
            </w:tcBorders>
            <w:vAlign w:val="center"/>
          </w:tcPr>
          <w:p>
            <w:pPr>
              <w:spacing w:line="240" w:lineRule="exact"/>
              <w:jc w:val="both"/>
              <w:rPr>
                <w:rFonts w:ascii="宋体" w:hAnsi="宋体" w:cs="宋体"/>
                <w:color w:val="auto"/>
                <w:kern w:val="0"/>
                <w:sz w:val="18"/>
                <w:szCs w:val="18"/>
              </w:rPr>
            </w:pPr>
            <w:r>
              <w:rPr>
                <w:rFonts w:hint="eastAsia" w:ascii="宋体" w:hAnsi="宋体" w:eastAsia="宋体" w:cs="宋体"/>
                <w:kern w:val="0"/>
                <w:sz w:val="20"/>
                <w:szCs w:val="20"/>
                <w:lang w:val="en-US" w:eastAsia="zh-CN"/>
              </w:rPr>
              <w:t>≥85%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Layout w:type="fixed"/>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pPr>
        <w:pStyle w:val="4"/>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color w:val="auto"/>
          <w:kern w:val="0"/>
          <w:sz w:val="22"/>
          <w:szCs w:val="24"/>
          <w:lang w:val="en-US" w:eastAsia="zh-CN" w:bidi="ar-SA"/>
        </w:rPr>
      </w:pPr>
    </w:p>
    <w:p>
      <w:pPr>
        <w:rPr>
          <w:rFonts w:hint="eastAsia"/>
          <w:lang w:val="en-US" w:eastAsia="zh-CN"/>
        </w:rPr>
      </w:pPr>
      <w:bookmarkStart w:id="1" w:name="_GoBack"/>
      <w:bookmarkEnd w:id="1"/>
    </w:p>
    <w:sectPr>
      <w:footerReference r:id="rId3" w:type="default"/>
      <w:pgSz w:w="11906" w:h="16838"/>
      <w:pgMar w:top="1440" w:right="1803" w:bottom="1440" w:left="1803" w:header="851" w:footer="992" w:gutter="0"/>
      <w:pgNumType w:fmt="decimal"/>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DejaVu Sans">
    <w:altName w:val="Segoe Print"/>
    <w:panose1 w:val="020B0603030804020204"/>
    <w:charset w:val="00"/>
    <w:family w:val="auto"/>
    <w:pitch w:val="default"/>
    <w:sig w:usb0="00000000" w:usb1="00000000" w:usb2="0A246029" w:usb3="0400200C" w:csb0="600001FF" w:csb1="DFFF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6"/>
                          </w:pPr>
                          <w:r>
                            <w:fldChar w:fldCharType="begin"/>
                          </w:r>
                          <w:r>
                            <w:instrText xml:space="preserve"> PAGE  \* MERGEFORMAT </w:instrText>
                          </w:r>
                          <w:r>
                            <w:fldChar w:fldCharType="separate"/>
                          </w:r>
                          <w:r>
                            <w:t>21</w:t>
                          </w:r>
                          <w:r>
                            <w:fldChar w:fldCharType="end"/>
                          </w:r>
                        </w:p>
                      </w:txbxContent>
                    </wps:txbx>
                    <wps:bodyPr vert="horz" wrap="none" lIns="0" tIns="0" rIns="0" bIns="0" anchor="t" anchorCtr="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LNJWO7QAAAABQEAAA8AAAAAAAAAAQAgAAAAIgAAAGRycy9kb3ducmV2&#10;LnhtbFBLAQIUABQAAAAIAIdO4kCEXiZ/ywEAAHkDAAAOAAAAAAAAAAEAIAAAAB8BAABkcnMvZTJv&#10;RG9jLnhtbFBLBQYAAAAABgAGAFkBAAB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21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DB0B63"/>
    <w:rsid w:val="01534994"/>
    <w:rsid w:val="05883ED0"/>
    <w:rsid w:val="0980654C"/>
    <w:rsid w:val="0C8165E0"/>
    <w:rsid w:val="17E16D7D"/>
    <w:rsid w:val="19EE4639"/>
    <w:rsid w:val="1C241D44"/>
    <w:rsid w:val="1D6628F1"/>
    <w:rsid w:val="280E42B1"/>
    <w:rsid w:val="2CBF8107"/>
    <w:rsid w:val="2EB70209"/>
    <w:rsid w:val="30FF2B40"/>
    <w:rsid w:val="35D339CB"/>
    <w:rsid w:val="3A0A0CBD"/>
    <w:rsid w:val="3FF79B31"/>
    <w:rsid w:val="481D3309"/>
    <w:rsid w:val="490D6193"/>
    <w:rsid w:val="49854CE8"/>
    <w:rsid w:val="4B3B5C13"/>
    <w:rsid w:val="4B923057"/>
    <w:rsid w:val="4BA31FDB"/>
    <w:rsid w:val="4BFF9656"/>
    <w:rsid w:val="537A1457"/>
    <w:rsid w:val="537B9DA3"/>
    <w:rsid w:val="538F2E23"/>
    <w:rsid w:val="54216840"/>
    <w:rsid w:val="577FC547"/>
    <w:rsid w:val="57FF4426"/>
    <w:rsid w:val="5A474F5C"/>
    <w:rsid w:val="5DDF52D1"/>
    <w:rsid w:val="5EDB0B63"/>
    <w:rsid w:val="5F9F33EB"/>
    <w:rsid w:val="61FD7F20"/>
    <w:rsid w:val="6A4B43D2"/>
    <w:rsid w:val="6AC7B1A3"/>
    <w:rsid w:val="6B77FB6F"/>
    <w:rsid w:val="6EE64CF3"/>
    <w:rsid w:val="6EE9A86C"/>
    <w:rsid w:val="6FD43E60"/>
    <w:rsid w:val="71DB912D"/>
    <w:rsid w:val="763E871D"/>
    <w:rsid w:val="79EBFCAD"/>
    <w:rsid w:val="7BBD97BD"/>
    <w:rsid w:val="7BED256C"/>
    <w:rsid w:val="7BFE4A5B"/>
    <w:rsid w:val="7BFFEC6B"/>
    <w:rsid w:val="7DBF4FBB"/>
    <w:rsid w:val="7DCD9330"/>
    <w:rsid w:val="7DD758A1"/>
    <w:rsid w:val="7E562264"/>
    <w:rsid w:val="7E5EB5A1"/>
    <w:rsid w:val="7F0557FA"/>
    <w:rsid w:val="7F2773F9"/>
    <w:rsid w:val="7F3909BD"/>
    <w:rsid w:val="7F7C49BA"/>
    <w:rsid w:val="7FBF70D0"/>
    <w:rsid w:val="7FF719AD"/>
    <w:rsid w:val="9BFD2FEF"/>
    <w:rsid w:val="AA5E3CAD"/>
    <w:rsid w:val="AFDDEFDC"/>
    <w:rsid w:val="B2DFF942"/>
    <w:rsid w:val="B5FC34C6"/>
    <w:rsid w:val="BAEFCA12"/>
    <w:rsid w:val="BD5D8A02"/>
    <w:rsid w:val="D4CEDA1A"/>
    <w:rsid w:val="D5A31DC0"/>
    <w:rsid w:val="D7FF1616"/>
    <w:rsid w:val="DFEAA56F"/>
    <w:rsid w:val="E6922BE3"/>
    <w:rsid w:val="EB5BB730"/>
    <w:rsid w:val="EDFF835A"/>
    <w:rsid w:val="EEBB59E1"/>
    <w:rsid w:val="EFCF022D"/>
    <w:rsid w:val="F37B3AB2"/>
    <w:rsid w:val="F6FF4047"/>
    <w:rsid w:val="F7E365DE"/>
    <w:rsid w:val="FA5A168B"/>
    <w:rsid w:val="FD3F40DC"/>
    <w:rsid w:val="FD8E962E"/>
    <w:rsid w:val="FEF8056D"/>
    <w:rsid w:val="FEF82787"/>
    <w:rsid w:val="FEFD3F0E"/>
    <w:rsid w:val="FFBDEA55"/>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toc 3"/>
    <w:basedOn w:val="1"/>
    <w:next w:val="1"/>
    <w:qFormat/>
    <w:uiPriority w:val="0"/>
    <w:pPr>
      <w:ind w:left="840" w:leftChars="400"/>
    </w:pPr>
    <w:rPr>
      <w:rFonts w:ascii="Times New Roman" w:hAnsi="Times New Roman"/>
    </w:rPr>
  </w:style>
  <w:style w:type="paragraph" w:styleId="4">
    <w:name w:val="Normal Indent"/>
    <w:basedOn w:val="1"/>
    <w:next w:val="1"/>
    <w:qFormat/>
    <w:uiPriority w:val="0"/>
    <w:pPr>
      <w:ind w:firstLine="200" w:firstLineChars="200"/>
    </w:pPr>
  </w:style>
  <w:style w:type="paragraph" w:styleId="5">
    <w:name w:val="Body Text"/>
    <w:basedOn w:val="1"/>
    <w:next w:val="1"/>
    <w:qFormat/>
    <w:uiPriority w:val="0"/>
    <w:pPr>
      <w:spacing w:before="0" w:after="140" w:line="276" w:lineRule="auto"/>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0">
    <w:name w:val="Hyperlink"/>
    <w:basedOn w:val="9"/>
    <w:qFormat/>
    <w:uiPriority w:val="0"/>
    <w:rPr>
      <w:color w:val="0000FF"/>
      <w:u w:val="single"/>
    </w:rPr>
  </w:style>
  <w:style w:type="character" w:customStyle="1" w:styleId="12">
    <w:name w:val="font81"/>
    <w:basedOn w:val="9"/>
    <w:qFormat/>
    <w:uiPriority w:val="0"/>
    <w:rPr>
      <w:rFonts w:hint="eastAsia" w:ascii="宋体" w:hAnsi="宋体" w:eastAsia="宋体" w:cs="宋体"/>
      <w:color w:val="000000"/>
      <w:sz w:val="20"/>
      <w:szCs w:val="20"/>
      <w:u w:val="none"/>
    </w:rPr>
  </w:style>
  <w:style w:type="character" w:customStyle="1" w:styleId="13">
    <w:name w:val="font11"/>
    <w:basedOn w:val="9"/>
    <w:qFormat/>
    <w:uiPriority w:val="0"/>
    <w:rPr>
      <w:rFonts w:hint="eastAsia" w:ascii="仿宋_GB2312" w:eastAsia="仿宋_GB2312" w:cs="仿宋_GB2312"/>
      <w:color w:val="000000"/>
      <w:sz w:val="24"/>
      <w:szCs w:val="24"/>
      <w:u w:val="none"/>
    </w:rPr>
  </w:style>
  <w:style w:type="character" w:customStyle="1" w:styleId="14">
    <w:name w:val="font61"/>
    <w:basedOn w:val="9"/>
    <w:qFormat/>
    <w:uiPriority w:val="0"/>
    <w:rPr>
      <w:rFonts w:hint="eastAsia" w:ascii="仿宋_GB2312" w:eastAsia="仿宋_GB2312" w:cs="仿宋_GB2312"/>
      <w:color w:val="000000"/>
      <w:sz w:val="24"/>
      <w:szCs w:val="24"/>
      <w:u w:val="none"/>
    </w:rPr>
  </w:style>
  <w:style w:type="character" w:customStyle="1" w:styleId="15">
    <w:name w:val="font71"/>
    <w:basedOn w:val="9"/>
    <w:qFormat/>
    <w:uiPriority w:val="0"/>
    <w:rPr>
      <w:rFonts w:hint="eastAsia" w:ascii="宋体" w:hAnsi="宋体" w:eastAsia="宋体" w:cs="宋体"/>
      <w:color w:val="FF0000"/>
      <w:sz w:val="20"/>
      <w:szCs w:val="20"/>
      <w:u w:val="none"/>
    </w:rPr>
  </w:style>
  <w:style w:type="paragraph" w:customStyle="1" w:styleId="16">
    <w:name w:val="表格"/>
    <w:basedOn w:val="1"/>
    <w:qFormat/>
    <w:uiPriority w:val="0"/>
    <w:pPr>
      <w:autoSpaceDN w:val="0"/>
      <w:jc w:val="center"/>
    </w:pPr>
    <w:rPr>
      <w:rFonts w:ascii="Verdana" w:hAnsi="Verdana" w:eastAsia="仿宋_GB2312" w:cs="Times New Roman"/>
      <w:bCs/>
      <w:sz w:val="24"/>
      <w:szCs w:val="21"/>
      <w:lang w:eastAsia="en-US"/>
    </w:rPr>
  </w:style>
  <w:style w:type="paragraph" w:customStyle="1" w:styleId="17">
    <w:name w:val="首行缩进"/>
    <w:basedOn w:val="1"/>
    <w:qFormat/>
    <w:uiPriority w:val="0"/>
    <w:pPr>
      <w:ind w:firstLine="480"/>
    </w:pPr>
    <w:rPr>
      <w:szCs w:val="20"/>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1338</Words>
  <Characters>1429</Characters>
  <Lines>0</Lines>
  <Paragraphs>0</Paragraphs>
  <ScaleCrop>false</ScaleCrop>
  <LinksUpToDate>false</LinksUpToDate>
  <CharactersWithSpaces>1456</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2024-03-13T19:08:00Z</dcterms:created>
  <dc:creator>user</dc:creator>
  <cp:lastModifiedBy>mzj</cp:lastModifiedBy>
  <cp:lastPrinted>2025-01-08T17:22:00Z</cp:lastPrinted>
  <dcterms:modified xsi:type="dcterms:W3CDTF">2025-03-09T12:59:16Z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y fmtid="{D5CDD505-2E9C-101B-9397-08002B2CF9AE}" pid="3" name="KSOTemplateDocerSaveRecord">
    <vt:lpwstr>eyJoZGlkIjoiOWM3ZTQ0MDMwMTQ1MzA1OTViMjVjZTRkODlhMjIxZjIiLCJ1c2VySWQiOiIyMTIzNzQ5MTIifQ==</vt:lpwstr>
  </property>
  <property fmtid="{D5CDD505-2E9C-101B-9397-08002B2CF9AE}" pid="4" name="ICV">
    <vt:lpwstr>2A57AEC0A79E4B60BDD5339386E7605B_12</vt:lpwstr>
  </property>
</Properties>
</file>