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505" w:type="dxa"/>
        <w:tblInd w:w="93" w:type="dxa"/>
        <w:tblLayout w:type="fixed"/>
        <w:tblCellMar>
          <w:top w:w="0" w:type="dxa"/>
          <w:left w:w="108" w:type="dxa"/>
          <w:bottom w:w="0" w:type="dxa"/>
          <w:right w:w="108" w:type="dxa"/>
        </w:tblCellMar>
      </w:tblPr>
      <w:tblGrid>
        <w:gridCol w:w="1378"/>
        <w:gridCol w:w="906"/>
        <w:gridCol w:w="1445"/>
        <w:gridCol w:w="1203"/>
        <w:gridCol w:w="1457"/>
        <w:gridCol w:w="1210"/>
        <w:gridCol w:w="1686"/>
        <w:gridCol w:w="1332"/>
        <w:gridCol w:w="284"/>
        <w:gridCol w:w="390"/>
        <w:gridCol w:w="379"/>
        <w:gridCol w:w="382"/>
        <w:gridCol w:w="1227"/>
        <w:gridCol w:w="1226"/>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vAlign w:val="center"/>
          </w:tcPr>
          <w:p>
            <w:pPr>
              <w:widowControl/>
              <w:jc w:val="center"/>
              <w:textAlignment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vAlign w:val="center"/>
          </w:tcPr>
          <w:p>
            <w:pPr>
              <w:widowControl/>
              <w:jc w:val="center"/>
              <w:textAlignment w:val="center"/>
              <w:rPr>
                <w:rFonts w:hint="eastAsia" w:ascii="FangSong_GB2312" w:hAnsi="宋体" w:eastAsia="FangSong_GB2312" w:cs="FangSong_GB2312"/>
                <w:color w:val="000000"/>
                <w:sz w:val="28"/>
                <w:szCs w:val="28"/>
              </w:rPr>
            </w:pPr>
            <w:r>
              <w:rPr>
                <w:rFonts w:hint="eastAsia" w:ascii="FangSong_GB2312" w:hAnsi="宋体" w:eastAsia="FangSong_GB2312" w:cs="FangSong_GB2312"/>
                <w:color w:val="000000"/>
                <w:kern w:val="0"/>
                <w:sz w:val="28"/>
                <w:szCs w:val="28"/>
                <w:lang w:bidi="ar"/>
              </w:rPr>
              <w:t xml:space="preserve">  （ </w:t>
            </w:r>
            <w:r>
              <w:rPr>
                <w:rFonts w:hint="eastAsia" w:ascii="FangSong_GB2312" w:hAnsi="宋体" w:eastAsia="FangSong_GB2312" w:cs="FangSong_GB2312"/>
                <w:color w:val="000000"/>
                <w:kern w:val="0"/>
                <w:sz w:val="28"/>
                <w:szCs w:val="28"/>
                <w:lang w:eastAsia="zh" w:bidi="ar"/>
              </w:rPr>
              <w:t>2024</w:t>
            </w:r>
            <w:r>
              <w:rPr>
                <w:rFonts w:hint="eastAsia" w:ascii="FangSong_GB2312" w:hAnsi="宋体" w:eastAsia="FangSong_GB2312" w:cs="FangSong_GB2312"/>
                <w:color w:val="000000"/>
                <w:kern w:val="0"/>
                <w:sz w:val="28"/>
                <w:szCs w:val="28"/>
                <w:lang w:bidi="ar"/>
              </w:rPr>
              <w:t xml:space="preserve"> 年度）</w:t>
            </w:r>
          </w:p>
        </w:tc>
      </w:tr>
      <w:tr>
        <w:tblPrEx>
          <w:tblCellMar>
            <w:top w:w="0" w:type="dxa"/>
            <w:left w:w="108" w:type="dxa"/>
            <w:bottom w:w="0" w:type="dxa"/>
            <w:right w:w="108" w:type="dxa"/>
          </w:tblCellMar>
        </w:tblPrEx>
        <w:trPr>
          <w:trHeight w:val="220" w:hRule="atLeast"/>
        </w:trPr>
        <w:tc>
          <w:tcPr>
            <w:tcW w:w="22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项目名称</w:t>
            </w:r>
          </w:p>
        </w:tc>
        <w:tc>
          <w:tcPr>
            <w:tcW w:w="12221" w:type="dxa"/>
            <w:gridSpan w:val="1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bookmarkStart w:id="0" w:name="_GoBack"/>
            <w:bookmarkEnd w:id="0"/>
            <w:r>
              <w:rPr>
                <w:rFonts w:hint="eastAsia" w:ascii="FangSong_GB2312" w:hAnsi="宋体" w:eastAsia="FangSong_GB2312" w:cs="FangSong_GB2312"/>
                <w:color w:val="000000"/>
                <w:szCs w:val="21"/>
              </w:rPr>
              <w:t>通州区适龄妇女宫颈癌、乳腺癌免费筛查项目及长效节育户籍已婚育龄群众免费健康体检经费</w:t>
            </w:r>
          </w:p>
        </w:tc>
      </w:tr>
      <w:tr>
        <w:tblPrEx>
          <w:tblCellMar>
            <w:top w:w="0" w:type="dxa"/>
            <w:left w:w="108" w:type="dxa"/>
            <w:bottom w:w="0" w:type="dxa"/>
            <w:right w:w="108" w:type="dxa"/>
          </w:tblCellMar>
        </w:tblPrEx>
        <w:trPr>
          <w:trHeight w:val="220" w:hRule="atLeast"/>
        </w:trPr>
        <w:tc>
          <w:tcPr>
            <w:tcW w:w="22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主管部门</w:t>
            </w:r>
          </w:p>
        </w:tc>
        <w:tc>
          <w:tcPr>
            <w:tcW w:w="7001"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北京市通州区卫生健康委员会</w:t>
            </w: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实施单位</w:t>
            </w:r>
          </w:p>
        </w:tc>
        <w:tc>
          <w:tcPr>
            <w:tcW w:w="3604"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北京市通州区卫生健康委员会</w:t>
            </w:r>
          </w:p>
        </w:tc>
      </w:tr>
      <w:tr>
        <w:tblPrEx>
          <w:tblCellMar>
            <w:top w:w="0" w:type="dxa"/>
            <w:left w:w="108" w:type="dxa"/>
            <w:bottom w:w="0" w:type="dxa"/>
            <w:right w:w="108" w:type="dxa"/>
          </w:tblCellMar>
        </w:tblPrEx>
        <w:trPr>
          <w:trHeight w:val="220" w:hRule="atLeast"/>
        </w:trPr>
        <w:tc>
          <w:tcPr>
            <w:tcW w:w="2284"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项目资金</w:t>
            </w:r>
            <w:r>
              <w:rPr>
                <w:rFonts w:hint="eastAsia" w:ascii="FangSong_GB2312" w:hAnsi="宋体" w:eastAsia="FangSong_GB2312" w:cs="FangSong_GB2312"/>
                <w:color w:val="000000"/>
                <w:kern w:val="0"/>
                <w:szCs w:val="21"/>
                <w:lang w:bidi="ar"/>
              </w:rPr>
              <w:br w:type="textWrapping"/>
            </w:r>
            <w:r>
              <w:rPr>
                <w:rFonts w:hint="eastAsia" w:ascii="FangSong_GB2312" w:hAnsi="宋体" w:eastAsia="FangSong_GB2312" w:cs="FangSong_GB2312"/>
                <w:color w:val="000000"/>
                <w:kern w:val="0"/>
                <w:szCs w:val="21"/>
                <w:lang w:bidi="ar"/>
              </w:rPr>
              <w:t>（万元）</w:t>
            </w: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57"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年初预算数</w:t>
            </w: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全年预算数</w:t>
            </w: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全年执行数</w:t>
            </w: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分值</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执行率</w:t>
            </w: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28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年度资金总额</w:t>
            </w:r>
          </w:p>
        </w:tc>
        <w:tc>
          <w:tcPr>
            <w:tcW w:w="145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1267.40</w:t>
            </w: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1267.40</w:t>
            </w: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1097.3</w:t>
            </w: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10</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86.58%</w:t>
            </w:r>
          </w:p>
        </w:tc>
        <w:tc>
          <w:tcPr>
            <w:tcW w:w="122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8.6</w:t>
            </w:r>
          </w:p>
        </w:tc>
      </w:tr>
      <w:tr>
        <w:tblPrEx>
          <w:tblCellMar>
            <w:top w:w="0" w:type="dxa"/>
            <w:left w:w="108" w:type="dxa"/>
            <w:bottom w:w="0" w:type="dxa"/>
            <w:right w:w="108" w:type="dxa"/>
          </w:tblCellMar>
        </w:tblPrEx>
        <w:trPr>
          <w:trHeight w:val="220" w:hRule="atLeast"/>
        </w:trPr>
        <w:tc>
          <w:tcPr>
            <w:tcW w:w="228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其中：当年财政拨款</w:t>
            </w:r>
          </w:p>
        </w:tc>
        <w:tc>
          <w:tcPr>
            <w:tcW w:w="145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1267.40</w:t>
            </w: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1267.40</w:t>
            </w: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1097.3</w:t>
            </w: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10</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86.58%</w:t>
            </w: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8.6</w:t>
            </w:r>
          </w:p>
        </w:tc>
      </w:tr>
      <w:tr>
        <w:tblPrEx>
          <w:tblCellMar>
            <w:top w:w="0" w:type="dxa"/>
            <w:left w:w="108" w:type="dxa"/>
            <w:bottom w:w="0" w:type="dxa"/>
            <w:right w:w="108" w:type="dxa"/>
          </w:tblCellMar>
        </w:tblPrEx>
        <w:trPr>
          <w:trHeight w:val="220" w:hRule="atLeast"/>
        </w:trPr>
        <w:tc>
          <w:tcPr>
            <w:tcW w:w="228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 xml:space="preserve">      上年结转资金</w:t>
            </w:r>
          </w:p>
        </w:tc>
        <w:tc>
          <w:tcPr>
            <w:tcW w:w="14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w:t>
            </w:r>
          </w:p>
        </w:tc>
      </w:tr>
      <w:tr>
        <w:tblPrEx>
          <w:tblCellMar>
            <w:top w:w="0" w:type="dxa"/>
            <w:left w:w="108" w:type="dxa"/>
            <w:bottom w:w="0" w:type="dxa"/>
            <w:right w:w="108" w:type="dxa"/>
          </w:tblCellMar>
        </w:tblPrEx>
        <w:trPr>
          <w:trHeight w:val="220" w:hRule="atLeast"/>
        </w:trPr>
        <w:tc>
          <w:tcPr>
            <w:tcW w:w="228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 xml:space="preserve">  其他资金</w:t>
            </w:r>
          </w:p>
        </w:tc>
        <w:tc>
          <w:tcPr>
            <w:tcW w:w="14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w:t>
            </w:r>
          </w:p>
        </w:tc>
      </w:tr>
      <w:tr>
        <w:tblPrEx>
          <w:tblCellMar>
            <w:top w:w="0" w:type="dxa"/>
            <w:left w:w="108" w:type="dxa"/>
            <w:bottom w:w="0" w:type="dxa"/>
            <w:right w:w="108" w:type="dxa"/>
          </w:tblCellMar>
        </w:tblPrEx>
        <w:trPr>
          <w:trHeight w:val="220" w:hRule="atLeast"/>
        </w:trPr>
        <w:tc>
          <w:tcPr>
            <w:tcW w:w="137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年度总体目标</w:t>
            </w:r>
          </w:p>
        </w:tc>
        <w:tc>
          <w:tcPr>
            <w:tcW w:w="7907"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预期目标</w:t>
            </w:r>
          </w:p>
        </w:tc>
        <w:tc>
          <w:tcPr>
            <w:tcW w:w="522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实际完成情况</w:t>
            </w:r>
          </w:p>
        </w:tc>
      </w:tr>
      <w:tr>
        <w:tblPrEx>
          <w:tblCellMar>
            <w:top w:w="0" w:type="dxa"/>
            <w:left w:w="108" w:type="dxa"/>
            <w:bottom w:w="0" w:type="dxa"/>
            <w:right w:w="108" w:type="dxa"/>
          </w:tblCellMar>
        </w:tblPrEx>
        <w:trPr>
          <w:trHeight w:val="220" w:hRule="atLeast"/>
        </w:trPr>
        <w:tc>
          <w:tcPr>
            <w:tcW w:w="137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7907"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对通州区户籍适龄妇女开展宫颈癌及乳腺癌筛查，并对异常可疑人群进行转诊治疗及追访工作，以期达到宫颈癌及乳腺癌的早发现、早诊断、早治疗。</w:t>
            </w:r>
          </w:p>
        </w:tc>
        <w:tc>
          <w:tcPr>
            <w:tcW w:w="522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顺利完成</w:t>
            </w:r>
          </w:p>
        </w:tc>
      </w:tr>
      <w:tr>
        <w:tblPrEx>
          <w:tblCellMar>
            <w:top w:w="0" w:type="dxa"/>
            <w:left w:w="108" w:type="dxa"/>
            <w:bottom w:w="0" w:type="dxa"/>
            <w:right w:w="108" w:type="dxa"/>
          </w:tblCellMar>
        </w:tblPrEx>
        <w:trPr>
          <w:trHeight w:val="220" w:hRule="atLeast"/>
        </w:trPr>
        <w:tc>
          <w:tcPr>
            <w:tcW w:w="137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绩效指标</w:t>
            </w:r>
          </w:p>
        </w:tc>
        <w:tc>
          <w:tcPr>
            <w:tcW w:w="90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一级指标</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三级指标</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年度指标值</w:t>
            </w:r>
          </w:p>
        </w:tc>
        <w:tc>
          <w:tcPr>
            <w:tcW w:w="13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实际完成值</w:t>
            </w:r>
          </w:p>
        </w:tc>
        <w:tc>
          <w:tcPr>
            <w:tcW w:w="67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分值</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得分</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偏差原因分析及改进措施</w:t>
            </w:r>
          </w:p>
        </w:tc>
      </w:tr>
      <w:tr>
        <w:tblPrEx>
          <w:tblCellMar>
            <w:top w:w="0" w:type="dxa"/>
            <w:left w:w="108" w:type="dxa"/>
            <w:bottom w:w="0" w:type="dxa"/>
            <w:right w:w="108" w:type="dxa"/>
          </w:tblCellMar>
        </w:tblPrEx>
        <w:trPr>
          <w:trHeight w:val="220" w:hRule="atLeast"/>
        </w:trPr>
        <w:tc>
          <w:tcPr>
            <w:tcW w:w="137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产出指标</w:t>
            </w:r>
          </w:p>
        </w:tc>
        <w:tc>
          <w:tcPr>
            <w:tcW w:w="1445"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指标1：全区完成两癌筛查人数</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44000</w:t>
            </w:r>
          </w:p>
        </w:tc>
        <w:tc>
          <w:tcPr>
            <w:tcW w:w="13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24243</w:t>
            </w:r>
          </w:p>
        </w:tc>
        <w:tc>
          <w:tcPr>
            <w:tcW w:w="67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6</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3.3</w:t>
            </w:r>
          </w:p>
        </w:tc>
        <w:tc>
          <w:tcPr>
            <w:tcW w:w="2453" w:type="dxa"/>
            <w:gridSpan w:val="2"/>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原因：1.经费预算时公安局提供的人口底数与各辖区的实际人口底数相差较大，造成预计筛查人数偏多。2.2024年北京市要求免费筛查目标人群限于非在职女职工及3年内未参与免费筛查的常住适龄女性，导致部分适龄女性无法参与筛查。</w:t>
            </w:r>
          </w:p>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改进措施：加强与各乡镇街道沟通，获得辖区常住女性数据，结合第七次人口普查数据，提升筛查人数预算准确性。</w:t>
            </w:r>
          </w:p>
        </w:tc>
      </w:tr>
      <w:tr>
        <w:tblPrEx>
          <w:tblCellMar>
            <w:top w:w="0" w:type="dxa"/>
            <w:left w:w="108" w:type="dxa"/>
            <w:bottom w:w="0" w:type="dxa"/>
            <w:right w:w="108" w:type="dxa"/>
          </w:tblCellMar>
        </w:tblPrEx>
        <w:trPr>
          <w:trHeight w:val="220" w:hRule="atLeast"/>
        </w:trPr>
        <w:tc>
          <w:tcPr>
            <w:tcW w:w="137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指标2：全区完成长效节育户籍已婚育龄群众健康体检人数</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6000</w:t>
            </w:r>
          </w:p>
        </w:tc>
        <w:tc>
          <w:tcPr>
            <w:tcW w:w="13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2257</w:t>
            </w:r>
          </w:p>
        </w:tc>
        <w:tc>
          <w:tcPr>
            <w:tcW w:w="67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4</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1.5</w:t>
            </w:r>
          </w:p>
        </w:tc>
        <w:tc>
          <w:tcPr>
            <w:tcW w:w="2453" w:type="dxa"/>
            <w:gridSpan w:val="2"/>
            <w:vMerge w:val="continue"/>
            <w:tcBorders>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r>
      <w:tr>
        <w:tblPrEx>
          <w:tblCellMar>
            <w:top w:w="0" w:type="dxa"/>
            <w:left w:w="108" w:type="dxa"/>
            <w:bottom w:w="0" w:type="dxa"/>
            <w:right w:w="108" w:type="dxa"/>
          </w:tblCellMar>
        </w:tblPrEx>
        <w:trPr>
          <w:trHeight w:val="220" w:hRule="atLeast"/>
        </w:trPr>
        <w:tc>
          <w:tcPr>
            <w:tcW w:w="137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指标3：宫颈癌筛查阳性转诊及乳腺筛查阳性转诊人数</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10000</w:t>
            </w:r>
          </w:p>
        </w:tc>
        <w:tc>
          <w:tcPr>
            <w:tcW w:w="13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6520</w:t>
            </w:r>
          </w:p>
        </w:tc>
        <w:tc>
          <w:tcPr>
            <w:tcW w:w="67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3.3</w:t>
            </w:r>
          </w:p>
        </w:tc>
        <w:tc>
          <w:tcPr>
            <w:tcW w:w="2453" w:type="dxa"/>
            <w:gridSpan w:val="2"/>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转诊及追访人数随筛查人数等比例减少。</w:t>
            </w:r>
          </w:p>
        </w:tc>
      </w:tr>
      <w:tr>
        <w:tblPrEx>
          <w:tblCellMar>
            <w:top w:w="0" w:type="dxa"/>
            <w:left w:w="108" w:type="dxa"/>
            <w:bottom w:w="0" w:type="dxa"/>
            <w:right w:w="108" w:type="dxa"/>
          </w:tblCellMar>
        </w:tblPrEx>
        <w:trPr>
          <w:trHeight w:val="220" w:hRule="atLeast"/>
        </w:trPr>
        <w:tc>
          <w:tcPr>
            <w:tcW w:w="137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指标4：全区两癌筛查高危病人转诊追访人数</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10000</w:t>
            </w:r>
          </w:p>
        </w:tc>
        <w:tc>
          <w:tcPr>
            <w:tcW w:w="13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6520</w:t>
            </w:r>
          </w:p>
        </w:tc>
        <w:tc>
          <w:tcPr>
            <w:tcW w:w="67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3.3</w:t>
            </w:r>
          </w:p>
        </w:tc>
        <w:tc>
          <w:tcPr>
            <w:tcW w:w="2453" w:type="dxa"/>
            <w:gridSpan w:val="2"/>
            <w:vMerge w:val="continue"/>
            <w:tcBorders>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r>
      <w:tr>
        <w:tblPrEx>
          <w:tblCellMar>
            <w:top w:w="0" w:type="dxa"/>
            <w:left w:w="108" w:type="dxa"/>
            <w:bottom w:w="0" w:type="dxa"/>
            <w:right w:w="108" w:type="dxa"/>
          </w:tblCellMar>
        </w:tblPrEx>
        <w:trPr>
          <w:trHeight w:val="220" w:hRule="atLeast"/>
        </w:trPr>
        <w:tc>
          <w:tcPr>
            <w:tcW w:w="137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指标5：开展专项质控、督导</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2次</w:t>
            </w:r>
          </w:p>
        </w:tc>
        <w:tc>
          <w:tcPr>
            <w:tcW w:w="13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2次</w:t>
            </w:r>
          </w:p>
        </w:tc>
        <w:tc>
          <w:tcPr>
            <w:tcW w:w="67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15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15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r>
      <w:tr>
        <w:tblPrEx>
          <w:tblCellMar>
            <w:top w:w="0" w:type="dxa"/>
            <w:left w:w="108" w:type="dxa"/>
            <w:bottom w:w="0" w:type="dxa"/>
            <w:right w:w="108" w:type="dxa"/>
          </w:tblCellMar>
        </w:tblPrEx>
        <w:trPr>
          <w:trHeight w:val="220" w:hRule="atLeast"/>
        </w:trPr>
        <w:tc>
          <w:tcPr>
            <w:tcW w:w="137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指标6：组织两癌筛查业务培训</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2次</w:t>
            </w:r>
          </w:p>
        </w:tc>
        <w:tc>
          <w:tcPr>
            <w:tcW w:w="13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4次</w:t>
            </w:r>
          </w:p>
        </w:tc>
        <w:tc>
          <w:tcPr>
            <w:tcW w:w="67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15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15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r>
      <w:tr>
        <w:tblPrEx>
          <w:tblCellMar>
            <w:top w:w="0" w:type="dxa"/>
            <w:left w:w="108" w:type="dxa"/>
            <w:bottom w:w="0" w:type="dxa"/>
            <w:right w:w="108" w:type="dxa"/>
          </w:tblCellMar>
        </w:tblPrEx>
        <w:trPr>
          <w:trHeight w:val="220" w:hRule="atLeast"/>
        </w:trPr>
        <w:tc>
          <w:tcPr>
            <w:tcW w:w="137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社会效益指标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指标1：减轻妇女经济压力，提高参与意识，提高通州区妇女病普查率，减少晚期癌症的发生。</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宫颈癌早诊率≥90%</w:t>
            </w:r>
          </w:p>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乳腺癌早诊率≥70%</w:t>
            </w:r>
          </w:p>
        </w:tc>
        <w:tc>
          <w:tcPr>
            <w:tcW w:w="13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宫颈癌早诊率95.24%</w:t>
            </w:r>
          </w:p>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乳腺癌早诊率83.33%</w:t>
            </w:r>
          </w:p>
        </w:tc>
        <w:tc>
          <w:tcPr>
            <w:tcW w:w="67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15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15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r>
      <w:tr>
        <w:tblPrEx>
          <w:tblCellMar>
            <w:top w:w="0" w:type="dxa"/>
            <w:left w:w="108" w:type="dxa"/>
            <w:bottom w:w="0" w:type="dxa"/>
            <w:right w:w="108" w:type="dxa"/>
          </w:tblCellMar>
        </w:tblPrEx>
        <w:trPr>
          <w:trHeight w:val="220" w:hRule="atLeast"/>
        </w:trPr>
        <w:tc>
          <w:tcPr>
            <w:tcW w:w="137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指标1：规范两癌筛查技术，建立通州区两癌筛查技术队伍，提高筛查质量。</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参与筛查人员持证上岗</w:t>
            </w:r>
          </w:p>
        </w:tc>
        <w:tc>
          <w:tcPr>
            <w:tcW w:w="13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按要求执行</w:t>
            </w:r>
          </w:p>
        </w:tc>
        <w:tc>
          <w:tcPr>
            <w:tcW w:w="67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15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15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r>
      <w:tr>
        <w:tblPrEx>
          <w:tblCellMar>
            <w:top w:w="0" w:type="dxa"/>
            <w:left w:w="108" w:type="dxa"/>
            <w:bottom w:w="0" w:type="dxa"/>
            <w:right w:w="108" w:type="dxa"/>
          </w:tblCellMar>
        </w:tblPrEx>
        <w:trPr>
          <w:trHeight w:val="220" w:hRule="atLeast"/>
        </w:trPr>
        <w:tc>
          <w:tcPr>
            <w:tcW w:w="137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满意度指标</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指标1：满意度</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≥90%</w:t>
            </w:r>
          </w:p>
        </w:tc>
        <w:tc>
          <w:tcPr>
            <w:tcW w:w="13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100%</w:t>
            </w:r>
          </w:p>
        </w:tc>
        <w:tc>
          <w:tcPr>
            <w:tcW w:w="67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10</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10</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p>
        </w:tc>
      </w:tr>
      <w:tr>
        <w:tblPrEx>
          <w:tblCellMar>
            <w:top w:w="0" w:type="dxa"/>
            <w:left w:w="108" w:type="dxa"/>
            <w:bottom w:w="0" w:type="dxa"/>
            <w:right w:w="108" w:type="dxa"/>
          </w:tblCellMar>
        </w:tblPrEx>
        <w:trPr>
          <w:trHeight w:val="220" w:hRule="atLeast"/>
        </w:trPr>
        <w:tc>
          <w:tcPr>
            <w:tcW w:w="10617"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总分</w:t>
            </w:r>
          </w:p>
        </w:tc>
        <w:tc>
          <w:tcPr>
            <w:tcW w:w="67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100</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90</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FangSong_GB2312">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E11DA6"/>
    <w:rsid w:val="6B161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2025-09-25T05:07:00Z</dcterms:created>
  <dc:creator>Administrator</dc:creator>
  <cp:lastModifiedBy>陈俊池</cp:lastModifiedBy>
  <dcterms:modified xsi:type="dcterms:W3CDTF">2025-09-25T05:10:14Z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71372420BD854026B61BC8ADE3FA6869</vt:lpwstr>
  </property>
</Properties>
</file>