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8928" w:type="dxa"/>
        <w:jc w:val="center"/>
        <w:tblLayout w:type="fixed"/>
        <w:tblCellMar>
          <w:top w:w="0" w:type="dxa"/>
          <w:left w:w="108" w:type="dxa"/>
          <w:bottom w:w="0" w:type="dxa"/>
          <w:right w:w="108" w:type="dxa"/>
        </w:tblCellMar>
      </w:tblPr>
      <w:tblGrid>
        <w:gridCol w:w="578"/>
        <w:gridCol w:w="969"/>
        <w:gridCol w:w="1086"/>
        <w:gridCol w:w="718"/>
        <w:gridCol w:w="1114"/>
        <w:gridCol w:w="382"/>
        <w:gridCol w:w="725"/>
        <w:gridCol w:w="848"/>
        <w:gridCol w:w="202"/>
        <w:gridCol w:w="355"/>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jc w:val="left"/>
              <w:rPr>
                <w:rFonts w:hint="default" w:ascii="宋体" w:hAnsi="宋体" w:eastAsia="宋体" w:cs="宋体"/>
                <w:b/>
                <w:bCs/>
                <w:kern w:val="0"/>
                <w:sz w:val="32"/>
                <w:szCs w:val="32"/>
                <w:highlight w:val="none"/>
                <w:lang w:val="en-US" w:eastAsia="zh-CN"/>
              </w:rPr>
            </w:pPr>
            <w:r>
              <w:rPr>
                <w:rFonts w:hint="eastAsia" w:ascii="宋体" w:hAnsi="宋体" w:cs="宋体"/>
                <w:b/>
                <w:bCs/>
                <w:kern w:val="0"/>
                <w:sz w:val="32"/>
                <w:szCs w:val="32"/>
                <w:highlight w:val="none"/>
                <w:lang w:val="en-US" w:eastAsia="zh-CN"/>
              </w:rPr>
              <w:t>附件2-2</w:t>
            </w:r>
          </w:p>
        </w:tc>
      </w:tr>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jc w:val="center"/>
              <w:rPr>
                <w:rFonts w:hint="eastAsia" w:ascii="宋体" w:hAnsi="宋体" w:cs="宋体"/>
                <w:b/>
                <w:bCs/>
                <w:kern w:val="0"/>
                <w:sz w:val="32"/>
                <w:szCs w:val="32"/>
                <w:highlight w:val="none"/>
              </w:rPr>
            </w:pPr>
            <w:r>
              <w:rPr>
                <w:rFonts w:hint="eastAsia" w:ascii="宋体" w:hAnsi="宋体" w:cs="宋体"/>
                <w:b/>
                <w:bCs/>
                <w:kern w:val="0"/>
                <w:sz w:val="32"/>
                <w:szCs w:val="32"/>
                <w:highlight w:val="none"/>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single" w:color="auto" w:sz="4" w:space="0"/>
              <w:right w:val="nil"/>
            </w:tcBorders>
          </w:tcPr>
          <w:p>
            <w:pPr>
              <w:widowControl/>
              <w:jc w:val="center"/>
              <w:rPr>
                <w:rFonts w:hint="eastAsia" w:ascii="宋体" w:hAnsi="宋体" w:cs="宋体"/>
                <w:kern w:val="0"/>
                <w:sz w:val="22"/>
                <w:highlight w:val="none"/>
              </w:rPr>
            </w:pPr>
            <w:r>
              <w:rPr>
                <w:rFonts w:hint="eastAsia" w:ascii="宋体" w:hAnsi="宋体" w:cs="宋体"/>
                <w:kern w:val="0"/>
                <w:sz w:val="22"/>
                <w:highlight w:val="none"/>
              </w:rPr>
              <w:t>（2024年度）</w:t>
            </w:r>
          </w:p>
        </w:tc>
      </w:tr>
      <w:tr>
        <w:tblPrEx>
          <w:tblCellMar>
            <w:top w:w="0" w:type="dxa"/>
            <w:left w:w="108" w:type="dxa"/>
            <w:bottom w:w="0" w:type="dxa"/>
            <w:right w:w="108" w:type="dxa"/>
          </w:tblCellMar>
        </w:tblPrEx>
        <w:trPr>
          <w:trHeight w:val="53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项目名称</w:t>
            </w:r>
          </w:p>
        </w:tc>
        <w:tc>
          <w:tcPr>
            <w:tcW w:w="7381" w:type="dxa"/>
            <w:gridSpan w:val="1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通州区推进“田长制”落实耕地保护利用（政府购买耕地质量等级监测评价与分类管理、基本农田巡查监管服务）</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主管部门</w:t>
            </w:r>
          </w:p>
        </w:tc>
        <w:tc>
          <w:tcPr>
            <w:tcW w:w="4025" w:type="dxa"/>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北京市通州区农业农村局</w:t>
            </w:r>
          </w:p>
        </w:tc>
        <w:tc>
          <w:tcPr>
            <w:tcW w:w="105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实施单位</w:t>
            </w:r>
          </w:p>
        </w:tc>
        <w:tc>
          <w:tcPr>
            <w:tcW w:w="2306" w:type="dxa"/>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北京市通州区农业农村局</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w:t>
            </w:r>
            <w:r>
              <w:rPr>
                <w:rFonts w:ascii="宋体" w:hAnsi="宋体" w:cs="宋体"/>
                <w:kern w:val="0"/>
                <w:sz w:val="18"/>
                <w:szCs w:val="18"/>
                <w:highlight w:val="none"/>
              </w:rPr>
              <w:t>负责人</w:t>
            </w:r>
          </w:p>
        </w:tc>
        <w:tc>
          <w:tcPr>
            <w:tcW w:w="4025" w:type="dxa"/>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05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ascii="宋体" w:hAnsi="宋体" w:cs="宋体"/>
                <w:kern w:val="0"/>
                <w:sz w:val="18"/>
                <w:szCs w:val="18"/>
                <w:highlight w:val="none"/>
              </w:rPr>
              <w:t>联系电话</w:t>
            </w:r>
          </w:p>
        </w:tc>
        <w:tc>
          <w:tcPr>
            <w:tcW w:w="2306" w:type="dxa"/>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bookmarkStart w:id="0" w:name="_GoBack"/>
            <w:bookmarkEnd w:id="0"/>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hint="eastAsia" w:ascii="宋体" w:hAnsi="宋体" w:cs="宋体"/>
                <w:kern w:val="0"/>
                <w:sz w:val="18"/>
                <w:szCs w:val="18"/>
                <w:highlight w:val="none"/>
              </w:rPr>
            </w:pPr>
            <w:r>
              <w:rPr>
                <w:rFonts w:hint="eastAsia" w:ascii="宋体" w:hAnsi="宋体" w:cs="宋体"/>
                <w:kern w:val="0"/>
                <w:sz w:val="18"/>
                <w:szCs w:val="18"/>
                <w:highlight w:val="none"/>
              </w:rPr>
              <w:t>项目资金（万元）</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11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年初     预算数</w:t>
            </w:r>
          </w:p>
        </w:tc>
        <w:tc>
          <w:tcPr>
            <w:tcW w:w="110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全年     预算数</w:t>
            </w:r>
          </w:p>
        </w:tc>
        <w:tc>
          <w:tcPr>
            <w:tcW w:w="105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全年     执行数</w:t>
            </w:r>
          </w:p>
        </w:tc>
        <w:tc>
          <w:tcPr>
            <w:tcW w:w="7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分值</w:t>
            </w:r>
          </w:p>
        </w:tc>
        <w:tc>
          <w:tcPr>
            <w:tcW w:w="8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执行率</w:t>
            </w:r>
          </w:p>
        </w:tc>
        <w:tc>
          <w:tcPr>
            <w:tcW w:w="6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8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hint="eastAsia" w:ascii="宋体" w:hAnsi="宋体" w:cs="宋体"/>
                <w:kern w:val="0"/>
                <w:sz w:val="18"/>
                <w:szCs w:val="18"/>
                <w:highlight w:val="none"/>
              </w:rPr>
            </w:pPr>
            <w:r>
              <w:rPr>
                <w:rFonts w:hint="eastAsia" w:ascii="宋体" w:hAnsi="宋体" w:cs="宋体"/>
                <w:kern w:val="0"/>
                <w:sz w:val="18"/>
                <w:szCs w:val="18"/>
                <w:highlight w:val="none"/>
              </w:rPr>
              <w:t>年度资金总额</w:t>
            </w:r>
          </w:p>
        </w:tc>
        <w:tc>
          <w:tcPr>
            <w:tcW w:w="111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100</w:t>
            </w:r>
          </w:p>
        </w:tc>
        <w:tc>
          <w:tcPr>
            <w:tcW w:w="110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100</w:t>
            </w:r>
          </w:p>
        </w:tc>
        <w:tc>
          <w:tcPr>
            <w:tcW w:w="105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hint="eastAsia" w:ascii="宋体" w:hAnsi="宋体" w:cs="宋体"/>
                <w:kern w:val="0"/>
                <w:sz w:val="18"/>
                <w:szCs w:val="18"/>
                <w:highlight w:val="none"/>
              </w:rPr>
            </w:pPr>
            <w:r>
              <w:rPr>
                <w:rFonts w:hint="eastAsia" w:ascii="宋体" w:hAnsi="宋体" w:cs="宋体"/>
                <w:kern w:val="0"/>
                <w:sz w:val="18"/>
                <w:szCs w:val="18"/>
                <w:highlight w:val="none"/>
              </w:rPr>
              <w:t>93.52</w:t>
            </w:r>
          </w:p>
        </w:tc>
        <w:tc>
          <w:tcPr>
            <w:tcW w:w="7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10</w:t>
            </w:r>
          </w:p>
        </w:tc>
        <w:tc>
          <w:tcPr>
            <w:tcW w:w="8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93.52</w:t>
            </w:r>
            <w:r>
              <w:rPr>
                <w:rFonts w:hint="eastAsia" w:ascii="宋体" w:hAnsi="宋体" w:cs="宋体"/>
                <w:kern w:val="0"/>
                <w:sz w:val="18"/>
                <w:szCs w:val="18"/>
                <w:highlight w:val="none"/>
              </w:rPr>
              <w:t>%</w:t>
            </w:r>
          </w:p>
        </w:tc>
        <w:tc>
          <w:tcPr>
            <w:tcW w:w="6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9.35</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8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其中：当年财政拨款</w:t>
            </w:r>
          </w:p>
        </w:tc>
        <w:tc>
          <w:tcPr>
            <w:tcW w:w="111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100</w:t>
            </w:r>
          </w:p>
        </w:tc>
        <w:tc>
          <w:tcPr>
            <w:tcW w:w="110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100</w:t>
            </w:r>
          </w:p>
        </w:tc>
        <w:tc>
          <w:tcPr>
            <w:tcW w:w="105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hint="eastAsia" w:ascii="宋体" w:hAnsi="宋体" w:cs="宋体"/>
                <w:kern w:val="0"/>
                <w:sz w:val="18"/>
                <w:szCs w:val="18"/>
                <w:highlight w:val="none"/>
              </w:rPr>
            </w:pPr>
            <w:r>
              <w:rPr>
                <w:rFonts w:hint="eastAsia" w:ascii="宋体" w:hAnsi="宋体" w:cs="宋体"/>
                <w:kern w:val="0"/>
                <w:sz w:val="18"/>
                <w:szCs w:val="18"/>
                <w:highlight w:val="none"/>
              </w:rPr>
              <w:t>93.52</w:t>
            </w:r>
          </w:p>
        </w:tc>
        <w:tc>
          <w:tcPr>
            <w:tcW w:w="7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w:t>
            </w:r>
          </w:p>
        </w:tc>
        <w:tc>
          <w:tcPr>
            <w:tcW w:w="8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6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8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      上年结转资金</w:t>
            </w:r>
          </w:p>
        </w:tc>
        <w:tc>
          <w:tcPr>
            <w:tcW w:w="111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10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05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7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w:t>
            </w:r>
          </w:p>
        </w:tc>
        <w:tc>
          <w:tcPr>
            <w:tcW w:w="8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6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8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  其他资金</w:t>
            </w:r>
          </w:p>
        </w:tc>
        <w:tc>
          <w:tcPr>
            <w:tcW w:w="111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10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05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7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w:t>
            </w:r>
          </w:p>
        </w:tc>
        <w:tc>
          <w:tcPr>
            <w:tcW w:w="8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6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年度总体目标</w:t>
            </w:r>
          </w:p>
        </w:tc>
        <w:tc>
          <w:tcPr>
            <w:tcW w:w="4994" w:type="dxa"/>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预期目标</w:t>
            </w:r>
          </w:p>
        </w:tc>
        <w:tc>
          <w:tcPr>
            <w:tcW w:w="3356"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实际完成情况</w:t>
            </w:r>
          </w:p>
        </w:tc>
      </w:tr>
      <w:tr>
        <w:tblPrEx>
          <w:tblCellMar>
            <w:top w:w="0" w:type="dxa"/>
            <w:left w:w="108" w:type="dxa"/>
            <w:bottom w:w="0" w:type="dxa"/>
            <w:right w:w="108" w:type="dxa"/>
          </w:tblCellMar>
        </w:tblPrEx>
        <w:trPr>
          <w:trHeight w:val="1369"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4994" w:type="dxa"/>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为落实耕地保护，对23万亩“三调”耕地开展耕地质量等级监测评价与分类管理及土壤污染调查与防治工作，按照国家和行业标准科学布点，加强耕地质量保护与提升</w:t>
            </w:r>
          </w:p>
        </w:tc>
        <w:tc>
          <w:tcPr>
            <w:tcW w:w="3356"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为落实耕地保护，对23万亩“三调”耕地开展耕地质量等级监测评价与分类管理及土壤污染调查与防治工作，按照国家和行业标准科学布点，加强耕地质量保护与提升</w:t>
            </w:r>
          </w:p>
        </w:tc>
      </w:tr>
      <w:tr>
        <w:tblPrEx>
          <w:tblCellMar>
            <w:top w:w="0" w:type="dxa"/>
            <w:left w:w="108" w:type="dxa"/>
            <w:bottom w:w="0" w:type="dxa"/>
            <w:right w:w="108" w:type="dxa"/>
          </w:tblCellMar>
        </w:tblPrEx>
        <w:trPr>
          <w:trHeight w:val="517" w:hRule="exact"/>
          <w:jc w:val="center"/>
        </w:trPr>
        <w:tc>
          <w:tcPr>
            <w:tcW w:w="57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绩</w:t>
            </w:r>
            <w:r>
              <w:rPr>
                <w:rFonts w:hint="eastAsia" w:ascii="宋体" w:hAnsi="宋体" w:cs="宋体"/>
                <w:kern w:val="0"/>
                <w:sz w:val="18"/>
                <w:szCs w:val="18"/>
                <w:highlight w:val="none"/>
              </w:rPr>
              <w:br w:type="textWrapping"/>
            </w:r>
            <w:r>
              <w:rPr>
                <w:rFonts w:hint="eastAsia" w:ascii="宋体" w:hAnsi="宋体" w:cs="宋体"/>
                <w:kern w:val="0"/>
                <w:sz w:val="18"/>
                <w:szCs w:val="18"/>
                <w:highlight w:val="none"/>
              </w:rPr>
              <w:t>效</w:t>
            </w:r>
            <w:r>
              <w:rPr>
                <w:rFonts w:hint="eastAsia" w:ascii="宋体" w:hAnsi="宋体" w:cs="宋体"/>
                <w:kern w:val="0"/>
                <w:sz w:val="18"/>
                <w:szCs w:val="18"/>
                <w:highlight w:val="none"/>
              </w:rPr>
              <w:br w:type="textWrapping"/>
            </w:r>
            <w:r>
              <w:rPr>
                <w:rFonts w:hint="eastAsia" w:ascii="宋体" w:hAnsi="宋体" w:cs="宋体"/>
                <w:kern w:val="0"/>
                <w:sz w:val="18"/>
                <w:szCs w:val="18"/>
                <w:highlight w:val="none"/>
              </w:rPr>
              <w:t>指</w:t>
            </w:r>
            <w:r>
              <w:rPr>
                <w:rFonts w:hint="eastAsia" w:ascii="宋体" w:hAnsi="宋体" w:cs="宋体"/>
                <w:kern w:val="0"/>
                <w:sz w:val="18"/>
                <w:szCs w:val="18"/>
                <w:highlight w:val="none"/>
              </w:rPr>
              <w:br w:type="textWrapping"/>
            </w:r>
            <w:r>
              <w:rPr>
                <w:rFonts w:hint="eastAsia" w:ascii="宋体" w:hAnsi="宋体" w:cs="宋体"/>
                <w:kern w:val="0"/>
                <w:sz w:val="18"/>
                <w:szCs w:val="18"/>
                <w:highlight w:val="none"/>
              </w:rPr>
              <w:t>标</w:t>
            </w:r>
          </w:p>
        </w:tc>
        <w:tc>
          <w:tcPr>
            <w:tcW w:w="9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一级指标</w:t>
            </w: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二级指标</w:t>
            </w:r>
          </w:p>
        </w:tc>
        <w:tc>
          <w:tcPr>
            <w:tcW w:w="2214"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7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年度</w:t>
            </w:r>
          </w:p>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实际</w:t>
            </w:r>
          </w:p>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完成值</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分值</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得分</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偏差原因分析及改进措施</w:t>
            </w:r>
          </w:p>
        </w:tc>
      </w:tr>
      <w:tr>
        <w:tblPrEx>
          <w:tblCellMar>
            <w:top w:w="0" w:type="dxa"/>
            <w:left w:w="108" w:type="dxa"/>
            <w:bottom w:w="0" w:type="dxa"/>
            <w:right w:w="108" w:type="dxa"/>
          </w:tblCellMar>
        </w:tblPrEx>
        <w:trPr>
          <w:trHeight w:val="898"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96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产出指标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数量指标</w:t>
            </w:r>
          </w:p>
        </w:tc>
        <w:tc>
          <w:tcPr>
            <w:tcW w:w="2214"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耕地质量等级监测评价与分类管理及土壤污染调查与防治工作报告数量</w:t>
            </w:r>
          </w:p>
        </w:tc>
        <w:tc>
          <w:tcPr>
            <w:tcW w:w="7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≥8个</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8个</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p>
        </w:tc>
      </w:tr>
      <w:tr>
        <w:tblPrEx>
          <w:tblCellMar>
            <w:top w:w="0" w:type="dxa"/>
            <w:left w:w="108" w:type="dxa"/>
            <w:bottom w:w="0" w:type="dxa"/>
            <w:right w:w="108" w:type="dxa"/>
          </w:tblCellMar>
        </w:tblPrEx>
        <w:trPr>
          <w:trHeight w:val="508"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08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p>
        </w:tc>
        <w:tc>
          <w:tcPr>
            <w:tcW w:w="2214"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完成预设点位取样</w:t>
            </w:r>
          </w:p>
          <w:p>
            <w:pPr>
              <w:widowControl/>
              <w:spacing w:line="240" w:lineRule="exact"/>
              <w:jc w:val="center"/>
              <w:rPr>
                <w:rFonts w:hint="eastAsia" w:ascii="宋体" w:hAnsi="宋体" w:eastAsia="宋体" w:cs="宋体"/>
                <w:kern w:val="0"/>
                <w:sz w:val="18"/>
                <w:szCs w:val="18"/>
                <w:highlight w:val="none"/>
              </w:rPr>
            </w:pPr>
          </w:p>
        </w:tc>
        <w:tc>
          <w:tcPr>
            <w:tcW w:w="7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≥480个</w:t>
            </w:r>
          </w:p>
          <w:p>
            <w:pPr>
              <w:widowControl/>
              <w:spacing w:line="240" w:lineRule="exact"/>
              <w:jc w:val="center"/>
              <w:rPr>
                <w:rFonts w:hint="eastAsia" w:ascii="宋体" w:hAnsi="宋体" w:eastAsia="宋体" w:cs="宋体"/>
                <w:kern w:val="0"/>
                <w:sz w:val="18"/>
                <w:szCs w:val="18"/>
                <w:highlight w:val="none"/>
              </w:rPr>
            </w:pP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484</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质量指标</w:t>
            </w:r>
          </w:p>
        </w:tc>
        <w:tc>
          <w:tcPr>
            <w:tcW w:w="2214"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报告验收通过率</w:t>
            </w:r>
          </w:p>
          <w:p>
            <w:pPr>
              <w:widowControl/>
              <w:spacing w:line="240" w:lineRule="exact"/>
              <w:jc w:val="center"/>
              <w:rPr>
                <w:rFonts w:hint="eastAsia" w:ascii="宋体" w:hAnsi="宋体" w:eastAsia="宋体" w:cs="宋体"/>
                <w:kern w:val="0"/>
                <w:sz w:val="18"/>
                <w:szCs w:val="18"/>
                <w:highlight w:val="none"/>
              </w:rPr>
            </w:pPr>
          </w:p>
        </w:tc>
        <w:tc>
          <w:tcPr>
            <w:tcW w:w="7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100%</w:t>
            </w:r>
          </w:p>
          <w:p>
            <w:pPr>
              <w:widowControl/>
              <w:spacing w:line="240" w:lineRule="exact"/>
              <w:jc w:val="center"/>
              <w:rPr>
                <w:rFonts w:hint="eastAsia" w:ascii="宋体" w:hAnsi="宋体" w:eastAsia="宋体" w:cs="宋体"/>
                <w:kern w:val="0"/>
                <w:sz w:val="18"/>
                <w:szCs w:val="18"/>
                <w:highlight w:val="none"/>
              </w:rPr>
            </w:pP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p>
        </w:tc>
      </w:tr>
      <w:tr>
        <w:tblPrEx>
          <w:tblCellMar>
            <w:top w:w="0" w:type="dxa"/>
            <w:left w:w="108" w:type="dxa"/>
            <w:bottom w:w="0" w:type="dxa"/>
            <w:right w:w="108" w:type="dxa"/>
          </w:tblCellMar>
        </w:tblPrEx>
        <w:trPr>
          <w:trHeight w:val="1230"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时效指标</w:t>
            </w:r>
          </w:p>
        </w:tc>
        <w:tc>
          <w:tcPr>
            <w:tcW w:w="2214"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耕地质量等级监测评价与分类管理及土壤污染调查与防治工作报告完成时间</w:t>
            </w:r>
          </w:p>
        </w:tc>
        <w:tc>
          <w:tcPr>
            <w:tcW w:w="7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2024年12月底之前完成</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2024年12月完成</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p>
        </w:tc>
      </w:tr>
      <w:tr>
        <w:tblPrEx>
          <w:tblCellMar>
            <w:top w:w="0" w:type="dxa"/>
            <w:left w:w="108" w:type="dxa"/>
            <w:bottom w:w="0" w:type="dxa"/>
            <w:right w:w="108" w:type="dxa"/>
          </w:tblCellMar>
        </w:tblPrEx>
        <w:trPr>
          <w:trHeight w:val="86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9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成本指标</w:t>
            </w: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经济成本指标</w:t>
            </w:r>
          </w:p>
        </w:tc>
        <w:tc>
          <w:tcPr>
            <w:tcW w:w="2214"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耕地质量等级监测评价与分类管理及土壤污染调查与防治工作成本</w:t>
            </w:r>
          </w:p>
        </w:tc>
        <w:tc>
          <w:tcPr>
            <w:tcW w:w="7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≤100万元</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cs="宋体"/>
                <w:kern w:val="0"/>
                <w:sz w:val="18"/>
                <w:szCs w:val="18"/>
                <w:highlight w:val="none"/>
              </w:rPr>
              <w:t>93.52</w:t>
            </w:r>
            <w:r>
              <w:rPr>
                <w:rFonts w:hint="eastAsia" w:ascii="宋体" w:hAnsi="宋体" w:eastAsia="宋体" w:cs="宋体"/>
                <w:kern w:val="0"/>
                <w:sz w:val="18"/>
                <w:szCs w:val="18"/>
                <w:highlight w:val="none"/>
              </w:rPr>
              <w:t>万元</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20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20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p>
        </w:tc>
      </w:tr>
      <w:tr>
        <w:tblPrEx>
          <w:tblCellMar>
            <w:top w:w="0" w:type="dxa"/>
            <w:left w:w="108" w:type="dxa"/>
            <w:bottom w:w="0" w:type="dxa"/>
            <w:right w:w="108" w:type="dxa"/>
          </w:tblCellMar>
        </w:tblPrEx>
        <w:trPr>
          <w:trHeight w:val="1037"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969" w:type="dxa"/>
            <w:vMerge w:val="restart"/>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效益指标</w:t>
            </w: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社会效益</w:t>
            </w:r>
          </w:p>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指标</w:t>
            </w:r>
          </w:p>
        </w:tc>
        <w:tc>
          <w:tcPr>
            <w:tcW w:w="2214"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通过开展年度耕地质量等级监测评价与分类管理及土壤污染调查与防治工作，有效保护耕地质量</w:t>
            </w:r>
          </w:p>
        </w:tc>
        <w:tc>
          <w:tcPr>
            <w:tcW w:w="7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有效促进</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有效促进</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p>
        </w:tc>
      </w:tr>
      <w:tr>
        <w:tblPrEx>
          <w:tblCellMar>
            <w:top w:w="0" w:type="dxa"/>
            <w:left w:w="108" w:type="dxa"/>
            <w:bottom w:w="0" w:type="dxa"/>
            <w:right w:w="108" w:type="dxa"/>
          </w:tblCellMar>
        </w:tblPrEx>
        <w:trPr>
          <w:trHeight w:val="728"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生态效益</w:t>
            </w:r>
          </w:p>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指标</w:t>
            </w:r>
          </w:p>
        </w:tc>
        <w:tc>
          <w:tcPr>
            <w:tcW w:w="2214"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加强耕地质量保护与提升，加快解决农业农村突出生态环境问题</w:t>
            </w:r>
          </w:p>
        </w:tc>
        <w:tc>
          <w:tcPr>
            <w:tcW w:w="7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环境持续向好</w:t>
            </w:r>
          </w:p>
          <w:p>
            <w:pPr>
              <w:widowControl/>
              <w:spacing w:line="240" w:lineRule="exact"/>
              <w:jc w:val="center"/>
              <w:rPr>
                <w:rFonts w:hint="eastAsia" w:ascii="宋体" w:hAnsi="宋体" w:eastAsia="宋体" w:cs="宋体"/>
                <w:kern w:val="0"/>
                <w:sz w:val="18"/>
                <w:szCs w:val="18"/>
                <w:highlight w:val="none"/>
              </w:rPr>
            </w:pP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环境持续向好</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p>
        </w:tc>
      </w:tr>
      <w:tr>
        <w:tblPrEx>
          <w:tblCellMar>
            <w:top w:w="0" w:type="dxa"/>
            <w:left w:w="108" w:type="dxa"/>
            <w:bottom w:w="0" w:type="dxa"/>
            <w:right w:w="108" w:type="dxa"/>
          </w:tblCellMar>
        </w:tblPrEx>
        <w:trPr>
          <w:trHeight w:val="56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9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满意度</w:t>
            </w:r>
          </w:p>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w:t>
            </w: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服务对象满意度指标</w:t>
            </w:r>
          </w:p>
        </w:tc>
        <w:tc>
          <w:tcPr>
            <w:tcW w:w="2214"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因耕地质量保护问题被投诉次数</w:t>
            </w:r>
          </w:p>
          <w:p>
            <w:pPr>
              <w:widowControl/>
              <w:spacing w:line="240" w:lineRule="exact"/>
              <w:jc w:val="center"/>
              <w:rPr>
                <w:rFonts w:hint="eastAsia" w:ascii="宋体" w:hAnsi="宋体" w:eastAsia="宋体" w:cs="宋体"/>
                <w:kern w:val="0"/>
                <w:sz w:val="18"/>
                <w:szCs w:val="18"/>
                <w:highlight w:val="none"/>
              </w:rPr>
            </w:pPr>
          </w:p>
        </w:tc>
        <w:tc>
          <w:tcPr>
            <w:tcW w:w="7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≤10次</w:t>
            </w:r>
          </w:p>
          <w:p>
            <w:pPr>
              <w:widowControl/>
              <w:spacing w:line="240" w:lineRule="exact"/>
              <w:jc w:val="center"/>
              <w:rPr>
                <w:rFonts w:hint="eastAsia" w:ascii="宋体" w:hAnsi="宋体" w:eastAsia="宋体" w:cs="宋体"/>
                <w:kern w:val="0"/>
                <w:sz w:val="18"/>
                <w:szCs w:val="18"/>
                <w:highlight w:val="none"/>
              </w:rPr>
            </w:pP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0次</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p>
        </w:tc>
      </w:tr>
      <w:tr>
        <w:tblPrEx>
          <w:tblCellMar>
            <w:top w:w="0" w:type="dxa"/>
            <w:left w:w="108" w:type="dxa"/>
            <w:bottom w:w="0" w:type="dxa"/>
            <w:right w:w="108" w:type="dxa"/>
          </w:tblCellMar>
        </w:tblPrEx>
        <w:trPr>
          <w:trHeight w:val="458"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总分</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cs="宋体"/>
                <w:kern w:val="0"/>
                <w:sz w:val="18"/>
                <w:szCs w:val="18"/>
                <w:highlight w:val="none"/>
                <w:lang w:val="en-US" w:eastAsia="zh-CN"/>
              </w:rPr>
              <w:t>99.35</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p>
        </w:tc>
      </w:tr>
    </w:tbl>
    <w:p>
      <w:pPr>
        <w:rPr>
          <w:rFonts w:hint="eastAsia" w:ascii="宋体" w:hAnsi="宋体" w:cs="宋体" w:eastAsiaTheme="minorEastAsia"/>
          <w:kern w:val="0"/>
          <w:sz w:val="2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embedRegular r:id="rId1" w:fontKey="{38AD3058-A113-4B5C-9307-0A24F7F5C32B}"/>
  </w:font>
  <w:font w:name="Tahoma">
    <w:panose1 w:val="020B0604030504040204"/>
    <w:charset w:val="00"/>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JjZDRlMDMxYzJkNjg0ZmQyMjk1YTBhNzdiOGI4MzIifQ=="/>
  </w:docVars>
  <w:rsids>
    <w:rsidRoot w:val="00334500"/>
    <w:rsid w:val="00077579"/>
    <w:rsid w:val="00164B96"/>
    <w:rsid w:val="001C5C6A"/>
    <w:rsid w:val="001E382B"/>
    <w:rsid w:val="00201ECD"/>
    <w:rsid w:val="002277EB"/>
    <w:rsid w:val="00236FE5"/>
    <w:rsid w:val="00241FD9"/>
    <w:rsid w:val="00280126"/>
    <w:rsid w:val="002D61E9"/>
    <w:rsid w:val="002E4F98"/>
    <w:rsid w:val="00334500"/>
    <w:rsid w:val="003736D2"/>
    <w:rsid w:val="003F32F5"/>
    <w:rsid w:val="003F63B6"/>
    <w:rsid w:val="004165FA"/>
    <w:rsid w:val="00422DE1"/>
    <w:rsid w:val="00440819"/>
    <w:rsid w:val="004A660B"/>
    <w:rsid w:val="005229D0"/>
    <w:rsid w:val="00595C92"/>
    <w:rsid w:val="005D3598"/>
    <w:rsid w:val="005D736B"/>
    <w:rsid w:val="005F72A1"/>
    <w:rsid w:val="006127FA"/>
    <w:rsid w:val="006246E8"/>
    <w:rsid w:val="00634D55"/>
    <w:rsid w:val="0068670D"/>
    <w:rsid w:val="007B0BA2"/>
    <w:rsid w:val="00806FA6"/>
    <w:rsid w:val="0083368F"/>
    <w:rsid w:val="00837801"/>
    <w:rsid w:val="008837FE"/>
    <w:rsid w:val="008E1E1D"/>
    <w:rsid w:val="009C6319"/>
    <w:rsid w:val="00A4165B"/>
    <w:rsid w:val="00A47D8B"/>
    <w:rsid w:val="00A56B7E"/>
    <w:rsid w:val="00B032B2"/>
    <w:rsid w:val="00B34597"/>
    <w:rsid w:val="00B77358"/>
    <w:rsid w:val="00B82AA8"/>
    <w:rsid w:val="00B949CC"/>
    <w:rsid w:val="00BE6FB0"/>
    <w:rsid w:val="00C5426A"/>
    <w:rsid w:val="00CE223A"/>
    <w:rsid w:val="00CE530E"/>
    <w:rsid w:val="00D86554"/>
    <w:rsid w:val="00DC7E8F"/>
    <w:rsid w:val="00E4132F"/>
    <w:rsid w:val="00E80BB0"/>
    <w:rsid w:val="00F94854"/>
    <w:rsid w:val="00FD7054"/>
    <w:rsid w:val="0FA42F48"/>
    <w:rsid w:val="18DE6357"/>
    <w:rsid w:val="1A125B19"/>
    <w:rsid w:val="1D2F5DE0"/>
    <w:rsid w:val="26AA208B"/>
    <w:rsid w:val="2C376DE6"/>
    <w:rsid w:val="30EE0314"/>
    <w:rsid w:val="4258365F"/>
    <w:rsid w:val="48814D75"/>
    <w:rsid w:val="50092C05"/>
    <w:rsid w:val="566770C0"/>
    <w:rsid w:val="568821B3"/>
    <w:rsid w:val="56DE5E5F"/>
    <w:rsid w:val="5BCB13F5"/>
    <w:rsid w:val="685D2552"/>
    <w:rsid w:val="6B895617"/>
    <w:rsid w:val="73FA6ACC"/>
    <w:rsid w:val="77B648DE"/>
    <w:rsid w:val="79190480"/>
    <w:rsid w:val="7CBF0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2"/>
    <w:semiHidden/>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paragraph" w:customStyle="1" w:styleId="11">
    <w:name w:val="Char Char Char1 Char Char Char Char Char Char Char Char Char1 Char Char Char Char"/>
    <w:basedOn w:val="1"/>
    <w:qFormat/>
    <w:uiPriority w:val="0"/>
    <w:pPr>
      <w:widowControl/>
      <w:spacing w:after="160" w:line="240" w:lineRule="exact"/>
      <w:jc w:val="left"/>
    </w:pPr>
    <w:rPr>
      <w:rFonts w:ascii="Tahoma" w:hAnsi="Tahoma" w:eastAsia="黑体" w:cs="Arial"/>
      <w:b/>
      <w:kern w:val="32"/>
      <w:sz w:val="32"/>
      <w:szCs w:val="28"/>
    </w:rPr>
  </w:style>
  <w:style w:type="character" w:customStyle="1" w:styleId="12">
    <w:name w:val="日期 字符"/>
    <w:basedOn w:val="8"/>
    <w:link w:val="3"/>
    <w:semiHidden/>
    <w:qFormat/>
    <w:uiPriority w:val="99"/>
    <w:rPr>
      <w:rFonts w:ascii="Times New Roman" w:hAnsi="Times New Roman" w:eastAsia="宋体" w:cs="Times New Roman"/>
      <w:szCs w:val="24"/>
    </w:rPr>
  </w:style>
  <w:style w:type="paragraph" w:styleId="13">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713</Words>
  <Characters>799</Characters>
  <Lines>13</Lines>
  <Paragraphs>3</Paragraphs>
  <TotalTime>0</TotalTime>
  <ScaleCrop>false</ScaleCrop>
  <LinksUpToDate>false</LinksUpToDate>
  <CharactersWithSpaces>822</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2025-01-16T09:44:00Z</dcterms:created>
  <dc:creator>liumin</dc:creator>
  <cp:lastModifiedBy>lenovo</cp:lastModifiedBy>
  <cp:lastPrinted>2024-01-02T09:23:00Z</cp:lastPrinted>
  <dcterms:modified xsi:type="dcterms:W3CDTF">2025-09-09T03:55:13Z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9DFDF29DF10B48248D9ED8A6A345011F_12</vt:lpwstr>
  </property>
  <property fmtid="{D5CDD505-2E9C-101B-9397-08002B2CF9AE}" pid="4" name="KSOTemplateDocerSaveRecord">
    <vt:lpwstr>eyJoZGlkIjoiYjYwOGM3MzYxYWU3NGUyZGU5NTM0NDI5ZGZiNDhjMDYiLCJ1c2VySWQiOiI1NTAxNTU0MTkifQ==</vt:lpwstr>
  </property>
</Properties>
</file>