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仿宋_GB2312"/>
          <w:color w:val="auto"/>
          <w:sz w:val="32"/>
          <w:szCs w:val="32"/>
          <w:highlight w:val="none"/>
          <w:lang w:val="en-US"/>
        </w:rPr>
      </w:pPr>
      <w:r>
        <w:rPr>
          <w:rFonts w:hint="eastAsia" w:ascii="黑体" w:hAnsi="黑体" w:eastAsia="黑体"/>
          <w:color w:val="auto"/>
          <w:sz w:val="32"/>
          <w:szCs w:val="32"/>
          <w:highlight w:val="none"/>
        </w:rPr>
        <w:t>附件</w:t>
      </w:r>
      <w:r>
        <w:rPr>
          <w:rFonts w:hint="eastAsia" w:ascii="黑体" w:hAnsi="黑体" w:eastAsia="黑体"/>
          <w:color w:val="auto"/>
          <w:sz w:val="32"/>
          <w:szCs w:val="32"/>
          <w:highlight w:val="none"/>
          <w:lang w:val="en-US" w:eastAsia="zh-CN"/>
        </w:rPr>
        <w:t>2-2</w:t>
      </w:r>
    </w:p>
    <w:tbl>
      <w:tblPr>
        <w:tblStyle w:val="3"/>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 xml:space="preserve">（   </w:t>
            </w:r>
            <w:r>
              <w:rPr>
                <w:rFonts w:hint="eastAsia" w:ascii="宋体" w:hAnsi="宋体" w:cs="宋体"/>
                <w:color w:val="auto"/>
                <w:kern w:val="0"/>
                <w:sz w:val="22"/>
                <w:highlight w:val="none"/>
                <w:lang w:val="en-US" w:eastAsia="zh-CN"/>
              </w:rPr>
              <w:t>2024</w:t>
            </w:r>
            <w:r>
              <w:rPr>
                <w:rFonts w:hint="eastAsia" w:ascii="宋体" w:hAnsi="宋体" w:cs="宋体"/>
                <w:color w:val="auto"/>
                <w:kern w:val="0"/>
                <w:sz w:val="22"/>
                <w:highlight w:val="none"/>
              </w:rPr>
              <w:t xml:space="preserve">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2022年农改-实施农业领域贷款贴息和担保费补贴</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default" w:ascii="宋体" w:hAnsi="宋体" w:eastAsia="宋体" w:cs="宋体"/>
                <w:color w:val="auto"/>
                <w:kern w:val="0"/>
                <w:sz w:val="18"/>
                <w:szCs w:val="18"/>
                <w:highlight w:val="none"/>
                <w:lang w:val="en-US" w:eastAsia="zh-CN"/>
              </w:rPr>
              <w:t>北京市通州区财政局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北京市通州区农业农村局</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项目</w:t>
            </w:r>
            <w:r>
              <w:rPr>
                <w:rFonts w:ascii="宋体" w:hAnsi="宋体" w:cs="宋体"/>
                <w:color w:val="auto"/>
                <w:kern w:val="0"/>
                <w:sz w:val="18"/>
                <w:szCs w:val="18"/>
                <w:highlight w:val="none"/>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highlight w:val="none"/>
                <w:lang w:val="en-US" w:eastAsia="zh-CN"/>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ascii="宋体" w:hAnsi="宋体" w:cs="宋体"/>
                <w:color w:val="auto"/>
                <w:kern w:val="0"/>
                <w:sz w:val="18"/>
                <w:szCs w:val="18"/>
                <w:highlight w:val="none"/>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bookmarkStart w:id="0" w:name="_GoBack"/>
            <w:bookmarkEnd w:id="0"/>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年初</w:t>
            </w:r>
            <w:r>
              <w:rPr>
                <w:rFonts w:hint="eastAsia" w:ascii="宋体" w:hAnsi="宋体" w:cs="宋体"/>
                <w:color w:val="auto"/>
                <w:kern w:val="0"/>
                <w:sz w:val="18"/>
                <w:szCs w:val="18"/>
                <w:highlight w:val="none"/>
                <w:lang w:val="en-US" w:eastAsia="zh-CN"/>
              </w:rPr>
              <w:t xml:space="preserve">     </w:t>
            </w:r>
            <w:r>
              <w:rPr>
                <w:rFonts w:hint="eastAsia" w:ascii="宋体" w:hAnsi="宋体" w:cs="宋体"/>
                <w:color w:val="auto"/>
                <w:kern w:val="0"/>
                <w:sz w:val="18"/>
                <w:szCs w:val="18"/>
                <w:highlight w:val="none"/>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全年</w:t>
            </w:r>
            <w:r>
              <w:rPr>
                <w:rFonts w:hint="eastAsia" w:ascii="宋体" w:hAnsi="宋体" w:cs="宋体"/>
                <w:color w:val="auto"/>
                <w:kern w:val="0"/>
                <w:sz w:val="18"/>
                <w:szCs w:val="18"/>
                <w:highlight w:val="none"/>
                <w:lang w:val="en-US" w:eastAsia="zh-CN"/>
              </w:rPr>
              <w:t xml:space="preserve">     </w:t>
            </w:r>
            <w:r>
              <w:rPr>
                <w:rFonts w:hint="eastAsia" w:ascii="宋体" w:hAnsi="宋体" w:cs="宋体"/>
                <w:color w:val="auto"/>
                <w:kern w:val="0"/>
                <w:sz w:val="18"/>
                <w:szCs w:val="18"/>
                <w:highlight w:val="none"/>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全年</w:t>
            </w:r>
            <w:r>
              <w:rPr>
                <w:rFonts w:hint="eastAsia" w:ascii="宋体" w:hAnsi="宋体" w:cs="宋体"/>
                <w:color w:val="auto"/>
                <w:kern w:val="0"/>
                <w:sz w:val="18"/>
                <w:szCs w:val="18"/>
                <w:highlight w:val="none"/>
                <w:lang w:val="en-US" w:eastAsia="zh-CN"/>
              </w:rPr>
              <w:t xml:space="preserve">     </w:t>
            </w:r>
            <w:r>
              <w:rPr>
                <w:rFonts w:hint="eastAsia" w:ascii="宋体" w:hAnsi="宋体" w:cs="宋体"/>
                <w:color w:val="auto"/>
                <w:kern w:val="0"/>
                <w:sz w:val="18"/>
                <w:szCs w:val="18"/>
                <w:highlight w:val="none"/>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159.21</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rPr>
            </w:pPr>
            <w:r>
              <w:rPr>
                <w:rFonts w:hint="eastAsia" w:ascii="宋体" w:hAnsi="宋体" w:cs="宋体"/>
                <w:color w:val="auto"/>
                <w:kern w:val="0"/>
                <w:sz w:val="18"/>
                <w:szCs w:val="18"/>
                <w:highlight w:val="none"/>
                <w:lang w:val="en-US" w:eastAsia="zh-CN"/>
              </w:rPr>
              <w:t>159.21</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rPr>
              <w:t>138.3</w:t>
            </w:r>
            <w:r>
              <w:rPr>
                <w:rFonts w:hint="eastAsia" w:ascii="宋体" w:hAnsi="宋体" w:cs="宋体"/>
                <w:color w:val="auto"/>
                <w:kern w:val="0"/>
                <w:sz w:val="18"/>
                <w:szCs w:val="18"/>
                <w:highlight w:val="none"/>
                <w:lang w:val="en-US" w:eastAsia="zh-CN"/>
              </w:rPr>
              <w:t>9</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86.92%</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8.69</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      上年结转资金</w:t>
            </w:r>
          </w:p>
        </w:tc>
        <w:tc>
          <w:tcPr>
            <w:tcW w:w="111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rPr>
              <w:t>159.21</w:t>
            </w:r>
          </w:p>
        </w:tc>
        <w:tc>
          <w:tcPr>
            <w:tcW w:w="110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rPr>
              <w:t>159.21</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highlight w:val="none"/>
                <w:lang w:val="en-US" w:eastAsia="zh-CN" w:bidi="ar-SA"/>
              </w:rPr>
            </w:pPr>
            <w:r>
              <w:rPr>
                <w:rFonts w:hint="eastAsia" w:ascii="宋体" w:hAnsi="宋体" w:cs="宋体"/>
                <w:color w:val="auto"/>
                <w:kern w:val="0"/>
                <w:sz w:val="18"/>
                <w:szCs w:val="18"/>
                <w:highlight w:val="none"/>
              </w:rPr>
              <w:t>138.3</w:t>
            </w:r>
            <w:r>
              <w:rPr>
                <w:rFonts w:hint="eastAsia" w:ascii="宋体" w:hAnsi="宋体" w:cs="宋体"/>
                <w:color w:val="auto"/>
                <w:kern w:val="0"/>
                <w:sz w:val="18"/>
                <w:szCs w:val="18"/>
                <w:highlight w:val="none"/>
                <w:lang w:val="en-US" w:eastAsia="zh-CN"/>
              </w:rPr>
              <w:t>9</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实际完成情况</w:t>
            </w:r>
          </w:p>
        </w:tc>
      </w:tr>
      <w:tr>
        <w:tblPrEx>
          <w:tblCellMar>
            <w:top w:w="0" w:type="dxa"/>
            <w:left w:w="108" w:type="dxa"/>
            <w:bottom w:w="0" w:type="dxa"/>
            <w:right w:w="108" w:type="dxa"/>
          </w:tblCellMar>
        </w:tblPrEx>
        <w:trPr>
          <w:trHeight w:val="2008"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2023年6月，市农业农村局印发了《关于组织做好2023年农业领域贷款贴息等金融扶持相关工作的通知》，我局根据通知要求已经在2023年下半年完成了上一周期（2022年7月1日至2023年6月30日）的贷款贴息前期工作，结果已提交市局。我区符合要求的农业经营主体涉及4个乡镇、15家企业的22笔业务，贷款金额总计5750万元、支付利息总额共245.816273万元</w:t>
            </w:r>
            <w:r>
              <w:rPr>
                <w:rFonts w:hint="eastAsia" w:ascii="宋体" w:hAnsi="宋体" w:cs="宋体"/>
                <w:color w:val="auto"/>
                <w:kern w:val="0"/>
                <w:sz w:val="18"/>
                <w:szCs w:val="18"/>
                <w:highlight w:val="none"/>
                <w:lang w:eastAsia="zh-CN"/>
              </w:rPr>
              <w:t>。</w:t>
            </w:r>
            <w:r>
              <w:rPr>
                <w:rFonts w:hint="eastAsia" w:ascii="宋体" w:hAnsi="宋体" w:cs="宋体"/>
                <w:color w:val="auto"/>
                <w:kern w:val="0"/>
                <w:sz w:val="18"/>
                <w:szCs w:val="18"/>
                <w:highlight w:val="none"/>
              </w:rPr>
              <w:t>项目补贴资金需经第三方审计公司评审完毕并出具审计报告后方可进行拨付。</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经审查：</w:t>
            </w:r>
            <w:r>
              <w:rPr>
                <w:rFonts w:hint="eastAsia" w:ascii="宋体" w:hAnsi="宋体" w:cs="宋体"/>
                <w:color w:val="auto"/>
                <w:kern w:val="0"/>
                <w:sz w:val="18"/>
                <w:szCs w:val="18"/>
                <w:highlight w:val="none"/>
                <w:lang w:val="en-US" w:eastAsia="zh-CN"/>
              </w:rPr>
              <w:t>符合补贴标准的，</w:t>
            </w:r>
            <w:r>
              <w:rPr>
                <w:rFonts w:hint="eastAsia" w:ascii="宋体" w:hAnsi="宋体" w:cs="宋体"/>
                <w:color w:val="auto"/>
                <w:kern w:val="0"/>
                <w:sz w:val="18"/>
                <w:szCs w:val="18"/>
                <w:highlight w:val="none"/>
              </w:rPr>
              <w:t>4个乡镇的13个申报主体18笔业务，符合补贴要求，涉及补贴资金共138.3888万元。</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绩</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效</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指</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年度</w:t>
            </w:r>
          </w:p>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实际</w:t>
            </w:r>
          </w:p>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偏差原因分析及改进措施</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涉及乡镇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4</w:t>
            </w:r>
            <w:r>
              <w:rPr>
                <w:rFonts w:hint="eastAsia" w:ascii="宋体" w:hAnsi="宋体" w:cs="宋体"/>
                <w:color w:val="auto"/>
                <w:kern w:val="0"/>
                <w:sz w:val="18"/>
                <w:szCs w:val="18"/>
                <w:highlight w:val="none"/>
              </w:rPr>
              <w:t>个</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4</w:t>
            </w:r>
            <w:r>
              <w:rPr>
                <w:rFonts w:hint="eastAsia" w:ascii="宋体" w:hAnsi="宋体" w:cs="宋体"/>
                <w:color w:val="auto"/>
                <w:kern w:val="0"/>
                <w:sz w:val="18"/>
                <w:szCs w:val="18"/>
                <w:highlight w:val="none"/>
              </w:rPr>
              <w:t>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涉及企业</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15</w:t>
            </w:r>
            <w:r>
              <w:rPr>
                <w:rFonts w:hint="eastAsia" w:ascii="宋体" w:hAnsi="宋体" w:cs="宋体"/>
                <w:color w:val="auto"/>
                <w:kern w:val="0"/>
                <w:sz w:val="18"/>
                <w:szCs w:val="18"/>
                <w:highlight w:val="none"/>
              </w:rPr>
              <w:t>家</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13家</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4.33</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涉及业务笔数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22</w:t>
            </w:r>
            <w:r>
              <w:rPr>
                <w:rFonts w:hint="eastAsia" w:ascii="宋体" w:hAnsi="宋体" w:cs="宋体"/>
                <w:color w:val="auto"/>
                <w:kern w:val="0"/>
                <w:sz w:val="18"/>
                <w:szCs w:val="18"/>
                <w:highlight w:val="none"/>
              </w:rPr>
              <w:t>笔</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18笔</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4.09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r>
      <w:tr>
        <w:tblPrEx>
          <w:tblCellMar>
            <w:top w:w="0" w:type="dxa"/>
            <w:left w:w="108" w:type="dxa"/>
            <w:bottom w:w="0" w:type="dxa"/>
            <w:right w:w="108" w:type="dxa"/>
          </w:tblCellMar>
        </w:tblPrEx>
        <w:trPr>
          <w:trHeight w:val="52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市级、区级、金融部门审核</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逐级审核</w:t>
            </w:r>
          </w:p>
        </w:tc>
        <w:tc>
          <w:tcPr>
            <w:tcW w:w="8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逐级审核</w:t>
            </w:r>
          </w:p>
        </w:tc>
        <w:tc>
          <w:tcPr>
            <w:tcW w:w="557" w:type="dxa"/>
            <w:gridSpan w:val="2"/>
            <w:tcBorders>
              <w:top w:val="nil"/>
              <w:left w:val="nil"/>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3</w:t>
            </w:r>
          </w:p>
        </w:tc>
        <w:tc>
          <w:tcPr>
            <w:tcW w:w="557" w:type="dxa"/>
            <w:gridSpan w:val="2"/>
            <w:tcBorders>
              <w:top w:val="nil"/>
              <w:left w:val="nil"/>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3</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r>
      <w:tr>
        <w:tblPrEx>
          <w:tblCellMar>
            <w:top w:w="0" w:type="dxa"/>
            <w:left w:w="108" w:type="dxa"/>
            <w:bottom w:w="0" w:type="dxa"/>
            <w:right w:w="108" w:type="dxa"/>
          </w:tblCellMar>
        </w:tblPrEx>
        <w:trPr>
          <w:trHeight w:val="52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资金拨付前的项目审计</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出具审计报告</w:t>
            </w:r>
          </w:p>
        </w:tc>
        <w:tc>
          <w:tcPr>
            <w:tcW w:w="8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出具审计报告</w:t>
            </w:r>
          </w:p>
        </w:tc>
        <w:tc>
          <w:tcPr>
            <w:tcW w:w="557" w:type="dxa"/>
            <w:gridSpan w:val="2"/>
            <w:tcBorders>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w:t>
            </w:r>
          </w:p>
        </w:tc>
        <w:tc>
          <w:tcPr>
            <w:tcW w:w="557" w:type="dxa"/>
            <w:gridSpan w:val="2"/>
            <w:tcBorders>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r>
      <w:tr>
        <w:tblPrEx>
          <w:tblCellMar>
            <w:top w:w="0" w:type="dxa"/>
            <w:left w:w="108" w:type="dxa"/>
            <w:bottom w:w="0" w:type="dxa"/>
            <w:right w:w="108" w:type="dxa"/>
          </w:tblCellMar>
        </w:tblPrEx>
        <w:trPr>
          <w:trHeight w:val="79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第三方审计公司比选工作</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20</w:t>
            </w:r>
            <w:r>
              <w:rPr>
                <w:rFonts w:hint="eastAsia" w:ascii="宋体" w:hAnsi="宋体" w:cs="宋体"/>
                <w:color w:val="auto"/>
                <w:kern w:val="0"/>
                <w:sz w:val="18"/>
                <w:szCs w:val="18"/>
                <w:highlight w:val="none"/>
                <w:lang w:val="en-US" w:eastAsia="zh-CN"/>
              </w:rPr>
              <w:t>24</w:t>
            </w:r>
            <w:r>
              <w:rPr>
                <w:rFonts w:hint="eastAsia" w:ascii="宋体" w:hAnsi="宋体" w:cs="宋体"/>
                <w:color w:val="auto"/>
                <w:kern w:val="0"/>
                <w:sz w:val="18"/>
                <w:szCs w:val="18"/>
                <w:highlight w:val="none"/>
              </w:rPr>
              <w:t>年</w:t>
            </w:r>
            <w:r>
              <w:rPr>
                <w:rFonts w:hint="eastAsia" w:ascii="宋体" w:hAnsi="宋体" w:cs="宋体"/>
                <w:color w:val="auto"/>
                <w:kern w:val="0"/>
                <w:sz w:val="18"/>
                <w:szCs w:val="18"/>
                <w:highlight w:val="none"/>
                <w:lang w:val="en-US" w:eastAsia="zh-CN"/>
              </w:rPr>
              <w:t>8</w:t>
            </w:r>
            <w:r>
              <w:rPr>
                <w:rFonts w:hint="eastAsia" w:ascii="宋体" w:hAnsi="宋体" w:cs="宋体"/>
                <w:color w:val="auto"/>
                <w:kern w:val="0"/>
                <w:sz w:val="18"/>
                <w:szCs w:val="18"/>
                <w:highlight w:val="none"/>
              </w:rPr>
              <w:t>月</w:t>
            </w:r>
            <w:r>
              <w:rPr>
                <w:rFonts w:hint="eastAsia" w:ascii="宋体" w:hAnsi="宋体" w:cs="宋体"/>
                <w:color w:val="auto"/>
                <w:kern w:val="0"/>
                <w:sz w:val="18"/>
                <w:szCs w:val="18"/>
                <w:highlight w:val="none"/>
                <w:lang w:val="en-US" w:eastAsia="zh-CN"/>
              </w:rPr>
              <w:t>31日</w:t>
            </w:r>
            <w:r>
              <w:rPr>
                <w:rFonts w:hint="eastAsia" w:ascii="宋体" w:hAnsi="宋体" w:cs="宋体"/>
                <w:color w:val="auto"/>
                <w:kern w:val="0"/>
                <w:sz w:val="18"/>
                <w:szCs w:val="18"/>
                <w:highlight w:val="none"/>
              </w:rPr>
              <w:t>前</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20</w:t>
            </w:r>
            <w:r>
              <w:rPr>
                <w:rFonts w:hint="eastAsia" w:ascii="宋体" w:hAnsi="宋体" w:cs="宋体"/>
                <w:color w:val="auto"/>
                <w:kern w:val="0"/>
                <w:sz w:val="18"/>
                <w:szCs w:val="18"/>
                <w:highlight w:val="none"/>
                <w:lang w:val="en-US" w:eastAsia="zh-CN"/>
              </w:rPr>
              <w:t>24</w:t>
            </w:r>
            <w:r>
              <w:rPr>
                <w:rFonts w:hint="eastAsia" w:ascii="宋体" w:hAnsi="宋体" w:cs="宋体"/>
                <w:color w:val="auto"/>
                <w:kern w:val="0"/>
                <w:sz w:val="18"/>
                <w:szCs w:val="18"/>
                <w:highlight w:val="none"/>
              </w:rPr>
              <w:t>年</w:t>
            </w:r>
            <w:r>
              <w:rPr>
                <w:rFonts w:hint="eastAsia" w:ascii="宋体" w:hAnsi="宋体" w:cs="宋体"/>
                <w:color w:val="auto"/>
                <w:kern w:val="0"/>
                <w:sz w:val="18"/>
                <w:szCs w:val="18"/>
                <w:highlight w:val="none"/>
                <w:lang w:val="en-US" w:eastAsia="zh-CN"/>
              </w:rPr>
              <w:t>8</w:t>
            </w:r>
            <w:r>
              <w:rPr>
                <w:rFonts w:hint="eastAsia" w:ascii="宋体" w:hAnsi="宋体" w:cs="宋体"/>
                <w:color w:val="auto"/>
                <w:kern w:val="0"/>
                <w:sz w:val="18"/>
                <w:szCs w:val="18"/>
                <w:highlight w:val="none"/>
              </w:rPr>
              <w:t>月</w:t>
            </w:r>
            <w:r>
              <w:rPr>
                <w:rFonts w:hint="eastAsia" w:ascii="宋体" w:hAnsi="宋体" w:cs="宋体"/>
                <w:color w:val="auto"/>
                <w:kern w:val="0"/>
                <w:sz w:val="18"/>
                <w:szCs w:val="18"/>
                <w:highlight w:val="none"/>
                <w:lang w:val="en-US" w:eastAsia="zh-CN"/>
              </w:rPr>
              <w:t>31日</w:t>
            </w:r>
            <w:r>
              <w:rPr>
                <w:rFonts w:hint="eastAsia" w:ascii="宋体" w:hAnsi="宋体" w:cs="宋体"/>
                <w:color w:val="auto"/>
                <w:kern w:val="0"/>
                <w:sz w:val="18"/>
                <w:szCs w:val="18"/>
                <w:highlight w:val="none"/>
              </w:rPr>
              <w:t>前</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r>
      <w:tr>
        <w:tblPrEx>
          <w:tblCellMar>
            <w:top w:w="0" w:type="dxa"/>
            <w:left w:w="108" w:type="dxa"/>
            <w:bottom w:w="0" w:type="dxa"/>
            <w:right w:w="108" w:type="dxa"/>
          </w:tblCellMar>
        </w:tblPrEx>
        <w:trPr>
          <w:trHeight w:val="77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资料入户审计核查工作</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20</w:t>
            </w:r>
            <w:r>
              <w:rPr>
                <w:rFonts w:hint="eastAsia" w:ascii="宋体" w:hAnsi="宋体" w:cs="宋体"/>
                <w:color w:val="auto"/>
                <w:kern w:val="0"/>
                <w:sz w:val="18"/>
                <w:szCs w:val="18"/>
                <w:highlight w:val="none"/>
                <w:lang w:val="en-US" w:eastAsia="zh-CN"/>
              </w:rPr>
              <w:t>24</w:t>
            </w:r>
            <w:r>
              <w:rPr>
                <w:rFonts w:hint="eastAsia" w:ascii="宋体" w:hAnsi="宋体" w:cs="宋体"/>
                <w:color w:val="auto"/>
                <w:kern w:val="0"/>
                <w:sz w:val="18"/>
                <w:szCs w:val="18"/>
                <w:highlight w:val="none"/>
              </w:rPr>
              <w:t>年</w:t>
            </w:r>
            <w:r>
              <w:rPr>
                <w:rFonts w:hint="eastAsia" w:ascii="宋体" w:hAnsi="宋体" w:cs="宋体"/>
                <w:color w:val="auto"/>
                <w:kern w:val="0"/>
                <w:sz w:val="18"/>
                <w:szCs w:val="18"/>
                <w:highlight w:val="none"/>
                <w:lang w:val="en-US" w:eastAsia="zh-CN"/>
              </w:rPr>
              <w:t>9</w:t>
            </w:r>
            <w:r>
              <w:rPr>
                <w:rFonts w:hint="eastAsia" w:ascii="宋体" w:hAnsi="宋体" w:cs="宋体"/>
                <w:color w:val="auto"/>
                <w:kern w:val="0"/>
                <w:sz w:val="18"/>
                <w:szCs w:val="18"/>
                <w:highlight w:val="none"/>
              </w:rPr>
              <w:t>月</w:t>
            </w:r>
            <w:r>
              <w:rPr>
                <w:rFonts w:hint="eastAsia" w:ascii="宋体" w:hAnsi="宋体" w:cs="宋体"/>
                <w:color w:val="auto"/>
                <w:kern w:val="0"/>
                <w:sz w:val="18"/>
                <w:szCs w:val="18"/>
                <w:highlight w:val="none"/>
                <w:lang w:val="en-US" w:eastAsia="zh-CN"/>
              </w:rPr>
              <w:t>30日</w:t>
            </w:r>
            <w:r>
              <w:rPr>
                <w:rFonts w:hint="eastAsia" w:ascii="宋体" w:hAnsi="宋体" w:cs="宋体"/>
                <w:color w:val="auto"/>
                <w:kern w:val="0"/>
                <w:sz w:val="18"/>
                <w:szCs w:val="18"/>
                <w:highlight w:val="none"/>
              </w:rPr>
              <w:t>前</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20</w:t>
            </w:r>
            <w:r>
              <w:rPr>
                <w:rFonts w:hint="eastAsia" w:ascii="宋体" w:hAnsi="宋体" w:cs="宋体"/>
                <w:color w:val="auto"/>
                <w:kern w:val="0"/>
                <w:sz w:val="18"/>
                <w:szCs w:val="18"/>
                <w:highlight w:val="none"/>
                <w:lang w:val="en-US" w:eastAsia="zh-CN"/>
              </w:rPr>
              <w:t>24</w:t>
            </w:r>
            <w:r>
              <w:rPr>
                <w:rFonts w:hint="eastAsia" w:ascii="宋体" w:hAnsi="宋体" w:cs="宋体"/>
                <w:color w:val="auto"/>
                <w:kern w:val="0"/>
                <w:sz w:val="18"/>
                <w:szCs w:val="18"/>
                <w:highlight w:val="none"/>
              </w:rPr>
              <w:t>年</w:t>
            </w:r>
            <w:r>
              <w:rPr>
                <w:rFonts w:hint="eastAsia" w:ascii="宋体" w:hAnsi="宋体" w:cs="宋体"/>
                <w:color w:val="auto"/>
                <w:kern w:val="0"/>
                <w:sz w:val="18"/>
                <w:szCs w:val="18"/>
                <w:highlight w:val="none"/>
                <w:lang w:val="en-US" w:eastAsia="zh-CN"/>
              </w:rPr>
              <w:t>9</w:t>
            </w:r>
            <w:r>
              <w:rPr>
                <w:rFonts w:hint="eastAsia" w:ascii="宋体" w:hAnsi="宋体" w:cs="宋体"/>
                <w:color w:val="auto"/>
                <w:kern w:val="0"/>
                <w:sz w:val="18"/>
                <w:szCs w:val="18"/>
                <w:highlight w:val="none"/>
              </w:rPr>
              <w:t>月</w:t>
            </w:r>
            <w:r>
              <w:rPr>
                <w:rFonts w:hint="eastAsia" w:ascii="宋体" w:hAnsi="宋体" w:cs="宋体"/>
                <w:color w:val="auto"/>
                <w:kern w:val="0"/>
                <w:sz w:val="18"/>
                <w:szCs w:val="18"/>
                <w:highlight w:val="none"/>
                <w:lang w:val="en-US" w:eastAsia="zh-CN"/>
              </w:rPr>
              <w:t>30日</w:t>
            </w:r>
            <w:r>
              <w:rPr>
                <w:rFonts w:hint="eastAsia" w:ascii="宋体" w:hAnsi="宋体" w:cs="宋体"/>
                <w:color w:val="auto"/>
                <w:kern w:val="0"/>
                <w:sz w:val="18"/>
                <w:szCs w:val="18"/>
                <w:highlight w:val="none"/>
              </w:rPr>
              <w:t>前</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r>
      <w:tr>
        <w:tblPrEx>
          <w:tblCellMar>
            <w:top w:w="0" w:type="dxa"/>
            <w:left w:w="108" w:type="dxa"/>
            <w:bottom w:w="0" w:type="dxa"/>
            <w:right w:w="108" w:type="dxa"/>
          </w:tblCellMar>
        </w:tblPrEx>
        <w:trPr>
          <w:trHeight w:val="83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完成资金拨付工作</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20</w:t>
            </w:r>
            <w:r>
              <w:rPr>
                <w:rFonts w:hint="eastAsia" w:ascii="宋体" w:hAnsi="宋体" w:cs="宋体"/>
                <w:color w:val="auto"/>
                <w:kern w:val="0"/>
                <w:sz w:val="18"/>
                <w:szCs w:val="18"/>
                <w:highlight w:val="none"/>
                <w:lang w:val="en-US" w:eastAsia="zh-CN"/>
              </w:rPr>
              <w:t>24</w:t>
            </w:r>
            <w:r>
              <w:rPr>
                <w:rFonts w:hint="eastAsia" w:ascii="宋体" w:hAnsi="宋体" w:cs="宋体"/>
                <w:color w:val="auto"/>
                <w:kern w:val="0"/>
                <w:sz w:val="18"/>
                <w:szCs w:val="18"/>
                <w:highlight w:val="none"/>
              </w:rPr>
              <w:t>年</w:t>
            </w:r>
            <w:r>
              <w:rPr>
                <w:rFonts w:hint="eastAsia" w:ascii="宋体" w:hAnsi="宋体" w:cs="宋体"/>
                <w:color w:val="auto"/>
                <w:kern w:val="0"/>
                <w:sz w:val="18"/>
                <w:szCs w:val="18"/>
                <w:highlight w:val="none"/>
                <w:lang w:val="en-US" w:eastAsia="zh-CN"/>
              </w:rPr>
              <w:t>10</w:t>
            </w:r>
            <w:r>
              <w:rPr>
                <w:rFonts w:hint="eastAsia" w:ascii="宋体" w:hAnsi="宋体" w:cs="宋体"/>
                <w:color w:val="auto"/>
                <w:kern w:val="0"/>
                <w:sz w:val="18"/>
                <w:szCs w:val="18"/>
                <w:highlight w:val="none"/>
              </w:rPr>
              <w:t>月30日前</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20</w:t>
            </w:r>
            <w:r>
              <w:rPr>
                <w:rFonts w:hint="eastAsia" w:ascii="宋体" w:hAnsi="宋体" w:cs="宋体"/>
                <w:color w:val="auto"/>
                <w:kern w:val="0"/>
                <w:sz w:val="18"/>
                <w:szCs w:val="18"/>
                <w:highlight w:val="none"/>
                <w:lang w:val="en-US" w:eastAsia="zh-CN"/>
              </w:rPr>
              <w:t>24</w:t>
            </w:r>
            <w:r>
              <w:rPr>
                <w:rFonts w:hint="eastAsia" w:ascii="宋体" w:hAnsi="宋体" w:cs="宋体"/>
                <w:color w:val="auto"/>
                <w:kern w:val="0"/>
                <w:sz w:val="18"/>
                <w:szCs w:val="18"/>
                <w:highlight w:val="none"/>
              </w:rPr>
              <w:t>年</w:t>
            </w:r>
            <w:r>
              <w:rPr>
                <w:rFonts w:hint="eastAsia" w:ascii="宋体" w:hAnsi="宋体" w:cs="宋体"/>
                <w:color w:val="auto"/>
                <w:kern w:val="0"/>
                <w:sz w:val="18"/>
                <w:szCs w:val="18"/>
                <w:highlight w:val="none"/>
                <w:lang w:val="en-US" w:eastAsia="zh-CN"/>
              </w:rPr>
              <w:t>11</w:t>
            </w:r>
            <w:r>
              <w:rPr>
                <w:rFonts w:hint="eastAsia" w:ascii="宋体" w:hAnsi="宋体" w:cs="宋体"/>
                <w:color w:val="auto"/>
                <w:kern w:val="0"/>
                <w:sz w:val="18"/>
                <w:szCs w:val="18"/>
                <w:highlight w:val="none"/>
              </w:rPr>
              <w:t>月30日前</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r>
      <w:tr>
        <w:tblPrEx>
          <w:tblCellMar>
            <w:top w:w="0" w:type="dxa"/>
            <w:left w:w="108" w:type="dxa"/>
            <w:bottom w:w="0" w:type="dxa"/>
            <w:right w:w="108" w:type="dxa"/>
          </w:tblCellMar>
        </w:tblPrEx>
        <w:trPr>
          <w:trHeight w:val="70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成本指标</w:t>
            </w:r>
          </w:p>
        </w:tc>
        <w:tc>
          <w:tcPr>
            <w:tcW w:w="108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经济</w:t>
            </w:r>
            <w:r>
              <w:rPr>
                <w:rFonts w:hint="eastAsia" w:ascii="宋体" w:hAnsi="宋体" w:cs="宋体"/>
                <w:color w:val="auto"/>
                <w:kern w:val="0"/>
                <w:sz w:val="18"/>
                <w:szCs w:val="18"/>
                <w:highlight w:val="none"/>
              </w:rPr>
              <w:t>成本指标</w:t>
            </w:r>
          </w:p>
        </w:tc>
        <w:tc>
          <w:tcPr>
            <w:tcW w:w="200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涉及各项补贴资金标准</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符合制度文件要求</w:t>
            </w:r>
          </w:p>
        </w:tc>
        <w:tc>
          <w:tcPr>
            <w:tcW w:w="8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符合制度文件要求</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20</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效益指标</w:t>
            </w:r>
          </w:p>
        </w:tc>
        <w:tc>
          <w:tcPr>
            <w:tcW w:w="108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社会效益</w:t>
            </w:r>
          </w:p>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指标</w:t>
            </w:r>
          </w:p>
          <w:p>
            <w:pPr>
              <w:widowControl/>
              <w:spacing w:line="240" w:lineRule="exact"/>
              <w:jc w:val="center"/>
              <w:rPr>
                <w:rFonts w:hint="eastAsia" w:ascii="宋体" w:hAnsi="宋体" w:cs="宋体"/>
                <w:color w:val="auto"/>
                <w:kern w:val="0"/>
                <w:sz w:val="18"/>
                <w:szCs w:val="18"/>
                <w:highlight w:val="none"/>
              </w:rPr>
            </w:pPr>
          </w:p>
        </w:tc>
        <w:tc>
          <w:tcPr>
            <w:tcW w:w="200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促进农民增收</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有所增强</w:t>
            </w:r>
          </w:p>
        </w:tc>
        <w:tc>
          <w:tcPr>
            <w:tcW w:w="8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效果显著</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r>
      <w:tr>
        <w:tblPrEx>
          <w:tblCellMar>
            <w:top w:w="0" w:type="dxa"/>
            <w:left w:w="108" w:type="dxa"/>
            <w:bottom w:w="0" w:type="dxa"/>
            <w:right w:w="108" w:type="dxa"/>
          </w:tblCellMar>
        </w:tblPrEx>
        <w:trPr>
          <w:trHeight w:val="5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c>
          <w:tcPr>
            <w:tcW w:w="200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绩效评价结果应用程度</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得到提升</w:t>
            </w:r>
          </w:p>
        </w:tc>
        <w:tc>
          <w:tcPr>
            <w:tcW w:w="8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得到提升</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满意度</w:t>
            </w:r>
          </w:p>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服务对象满意度</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≧80%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rPr>
              <w:t>80%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r>
      <w:tr>
        <w:tblPrEx>
          <w:tblCellMar>
            <w:top w:w="0" w:type="dxa"/>
            <w:left w:w="108" w:type="dxa"/>
            <w:bottom w:w="0" w:type="dxa"/>
            <w:right w:w="108" w:type="dxa"/>
          </w:tblCellMar>
        </w:tblPrEx>
        <w:trPr>
          <w:trHeight w:val="585"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95.11</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p>
        </w:tc>
      </w:tr>
    </w:tbl>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wOGM3MzYxYWU3NGUyZGU5NTM0NDI5ZGZiNDhjMDYifQ=="/>
  </w:docVars>
  <w:rsids>
    <w:rsidRoot w:val="440102B1"/>
    <w:rsid w:val="01122B4F"/>
    <w:rsid w:val="0CC622F7"/>
    <w:rsid w:val="109C5C3C"/>
    <w:rsid w:val="15924581"/>
    <w:rsid w:val="1781632D"/>
    <w:rsid w:val="17C57205"/>
    <w:rsid w:val="19B76A39"/>
    <w:rsid w:val="21FB60D3"/>
    <w:rsid w:val="27E10D1D"/>
    <w:rsid w:val="2A0C7858"/>
    <w:rsid w:val="2EC15BD9"/>
    <w:rsid w:val="30056495"/>
    <w:rsid w:val="3076601D"/>
    <w:rsid w:val="36414DBA"/>
    <w:rsid w:val="379A181D"/>
    <w:rsid w:val="39730FCE"/>
    <w:rsid w:val="3A9855EA"/>
    <w:rsid w:val="3D772CB0"/>
    <w:rsid w:val="3DC626EB"/>
    <w:rsid w:val="3F467C8F"/>
    <w:rsid w:val="440102B1"/>
    <w:rsid w:val="44A75419"/>
    <w:rsid w:val="45F75D94"/>
    <w:rsid w:val="4A17435F"/>
    <w:rsid w:val="4CA329FF"/>
    <w:rsid w:val="5D7C523D"/>
    <w:rsid w:val="6D393F68"/>
    <w:rsid w:val="70FB0F37"/>
    <w:rsid w:val="798B6DBB"/>
    <w:rsid w:val="79F77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727</Words>
  <Characters>875</Characters>
  <Lines>0</Lines>
  <Paragraphs>0</Paragraphs>
  <TotalTime>3</TotalTime>
  <ScaleCrop>false</ScaleCrop>
  <LinksUpToDate>false</LinksUpToDate>
  <CharactersWithSpaces>902</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2024-01-23T00:54:00Z</dcterms:created>
  <dc:creator>Admin</dc:creator>
  <cp:lastModifiedBy>lenovo</cp:lastModifiedBy>
  <dcterms:modified xsi:type="dcterms:W3CDTF">2025-09-09T03:58:03Z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A8E4702402614070BC973C60EF76DF7E_12</vt:lpwstr>
  </property>
  <property fmtid="{D5CDD505-2E9C-101B-9397-08002B2CF9AE}" pid="4" name="KSOTemplateDocerSaveRecord">
    <vt:lpwstr>eyJoZGlkIjoiYjYwOGM3MzYxYWU3NGUyZGU5NTM0NDI5ZGZiNDhjMDYiLCJ1c2VySWQiOiI1NTAxNTU0MTkifQ==</vt:lpwstr>
  </property>
</Properties>
</file>