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line="560" w:lineRule="exact"/>
        <w:rPr>
          <w:rFonts w:ascii="仿宋_GB2312" w:eastAsia="仿宋_GB2312" w:cs="Times New Roman"/>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val="en-US" w:eastAsia="zh-CN"/>
        </w:rPr>
        <w:t>北京市</w:t>
      </w:r>
      <w:r>
        <w:rPr>
          <w:rFonts w:hint="eastAsia" w:ascii="Times New Roman" w:hAnsi="Times New Roman" w:eastAsia="方正小标宋简体"/>
          <w:bCs/>
          <w:sz w:val="44"/>
          <w:szCs w:val="44"/>
          <w:lang w:eastAsia="zh-CN"/>
        </w:rPr>
        <w:t>通州区发展和改革委员会</w:t>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bCs/>
          <w:sz w:val="44"/>
          <w:szCs w:val="44"/>
        </w:rPr>
      </w:pPr>
      <w:bookmarkStart w:id="0" w:name="OLE_LINK2"/>
      <w:r>
        <w:rPr>
          <w:rFonts w:hint="eastAsia" w:ascii="方正小标宋简体" w:eastAsia="方正小标宋简体"/>
          <w:bCs/>
          <w:sz w:val="44"/>
          <w:szCs w:val="44"/>
        </w:rPr>
        <w:t>关于</w:t>
      </w:r>
      <w:bookmarkStart w:id="1" w:name="OLE_LINK1"/>
      <w:r>
        <w:rPr>
          <w:rFonts w:hint="eastAsia" w:ascii="方正小标宋简体" w:eastAsia="方正小标宋简体"/>
          <w:bCs/>
          <w:sz w:val="44"/>
          <w:szCs w:val="44"/>
        </w:rPr>
        <w:t>小盐河西路（张凤路</w:t>
      </w:r>
      <w:r>
        <w:rPr>
          <w:rFonts w:hint="eastAsia" w:ascii="方正小标宋简体" w:eastAsia="方正小标宋简体"/>
          <w:bCs/>
          <w:sz w:val="44"/>
          <w:szCs w:val="44"/>
          <w:lang w:val="en-US" w:eastAsia="zh-CN"/>
        </w:rPr>
        <w:t>-</w:t>
      </w:r>
      <w:r>
        <w:rPr>
          <w:rFonts w:hint="eastAsia" w:ascii="方正小标宋简体" w:eastAsia="方正小标宋简体"/>
          <w:bCs/>
          <w:sz w:val="44"/>
          <w:szCs w:val="44"/>
        </w:rPr>
        <w:t>渔场南街）</w:t>
      </w:r>
    </w:p>
    <w:p>
      <w:pPr>
        <w:keepNext w:val="0"/>
        <w:keepLines w:val="0"/>
        <w:pageBreakBefore w:val="0"/>
        <w:widowControl w:val="0"/>
        <w:kinsoku/>
        <w:wordWrap/>
        <w:overflowPunct/>
        <w:topLinePunct w:val="0"/>
        <w:autoSpaceDE/>
        <w:autoSpaceDN/>
        <w:bidi w:val="0"/>
        <w:spacing w:line="560" w:lineRule="exact"/>
        <w:jc w:val="center"/>
        <w:rPr>
          <w:rFonts w:ascii="仿宋_GB2312"/>
          <w:sz w:val="44"/>
          <w:szCs w:val="44"/>
        </w:rPr>
      </w:pPr>
      <w:r>
        <w:rPr>
          <w:rFonts w:hint="eastAsia" w:ascii="方正小标宋简体" w:eastAsia="方正小标宋简体"/>
          <w:bCs/>
          <w:sz w:val="44"/>
          <w:szCs w:val="44"/>
          <w:lang w:val="en-US" w:eastAsia="zh-CN"/>
        </w:rPr>
        <w:t>道路工程</w:t>
      </w:r>
      <w:bookmarkEnd w:id="1"/>
      <w:r>
        <w:rPr>
          <w:rFonts w:hint="eastAsia" w:ascii="方正小标宋简体" w:eastAsia="方正小标宋简体"/>
          <w:bCs/>
          <w:sz w:val="44"/>
          <w:szCs w:val="44"/>
          <w:lang w:eastAsia="zh-CN"/>
        </w:rPr>
        <w:t>核准</w:t>
      </w:r>
      <w:r>
        <w:rPr>
          <w:rFonts w:hint="eastAsia" w:ascii="方正小标宋简体" w:eastAsia="方正小标宋简体"/>
          <w:bCs/>
          <w:sz w:val="44"/>
          <w:szCs w:val="44"/>
        </w:rPr>
        <w:t>的批复</w:t>
      </w:r>
      <w:bookmarkEnd w:id="0"/>
    </w:p>
    <w:p>
      <w:pPr>
        <w:tabs>
          <w:tab w:val="left" w:pos="345"/>
          <w:tab w:val="left" w:pos="6570"/>
        </w:tabs>
        <w:ind w:firstLine="320" w:firstLineChars="100"/>
        <w:jc w:val="center"/>
        <w:rPr>
          <w:rFonts w:ascii="文星标宋" w:hAnsi="文星标宋" w:eastAsia="文星标宋"/>
          <w:spacing w:val="100"/>
          <w:w w:val="80"/>
          <w:kern w:val="400"/>
          <w:sz w:val="28"/>
          <w:szCs w:val="28"/>
        </w:rPr>
      </w:pPr>
      <w:r>
        <w:rPr>
          <w:rFonts w:hint="eastAsia" w:ascii="仿宋_GB2312" w:hAnsi="仿宋_GB2312" w:eastAsia="仿宋_GB2312" w:cs="仿宋_GB2312"/>
          <w:b w:val="0"/>
          <w:bCs w:val="0"/>
          <w:color w:val="auto"/>
          <w:sz w:val="32"/>
          <w:szCs w:val="32"/>
          <w:highlight w:val="none"/>
          <w:lang w:eastAsia="zh-CN"/>
        </w:rPr>
        <w:t>京通州</w:t>
      </w:r>
      <w:r>
        <w:rPr>
          <w:rFonts w:hint="eastAsia" w:ascii="仿宋_GB2312" w:hAnsi="仿宋_GB2312" w:eastAsia="仿宋_GB2312" w:cs="仿宋_GB2312"/>
          <w:b w:val="0"/>
          <w:bCs w:val="0"/>
          <w:color w:val="auto"/>
          <w:sz w:val="32"/>
          <w:szCs w:val="32"/>
          <w:highlight w:val="none"/>
        </w:rPr>
        <w:t>发改（</w:t>
      </w:r>
      <w:r>
        <w:rPr>
          <w:rFonts w:hint="eastAsia" w:ascii="仿宋_GB2312" w:hAnsi="仿宋_GB2312" w:eastAsia="仿宋_GB2312" w:cs="仿宋_GB2312"/>
          <w:b w:val="0"/>
          <w:bCs w:val="0"/>
          <w:color w:val="auto"/>
          <w:sz w:val="32"/>
          <w:szCs w:val="32"/>
          <w:highlight w:val="none"/>
          <w:lang w:eastAsia="zh-CN"/>
        </w:rPr>
        <w:t>核</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r>
        <w:rPr>
          <w:rFonts w:hint="eastAsia" w:ascii="仿宋_GB2312" w:eastAsia="仿宋_GB2312" w:cs="仿宋_GB2312"/>
          <w:sz w:val="32"/>
          <w:szCs w:val="32"/>
        </w:rPr>
        <w:t>北京通州房地产开发有限责任公司：</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你单位《关于申报小盐河西路（张凤路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渔场南街）道路工程项目</w:t>
      </w:r>
      <w:r>
        <w:rPr>
          <w:rFonts w:hint="eastAsia" w:ascii="仿宋_GB2312" w:hAnsi="仿宋_GB2312" w:eastAsia="仿宋_GB2312" w:cs="仿宋_GB2312"/>
          <w:sz w:val="32"/>
          <w:szCs w:val="32"/>
          <w:lang w:val="en-US" w:eastAsia="zh-CN"/>
        </w:rPr>
        <w:t>申请报告</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小盐河西路（张凤路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渔场南街）道路工程</w:t>
      </w:r>
      <w:r>
        <w:rPr>
          <w:rFonts w:hint="eastAsia" w:ascii="仿宋_GB2312" w:hAnsi="仿宋_GB2312" w:eastAsia="仿宋_GB2312" w:cs="仿宋_GB2312"/>
          <w:sz w:val="32"/>
          <w:szCs w:val="32"/>
          <w:lang w:eastAsia="zh-CN"/>
        </w:rPr>
        <w:t>项目招标方案核准</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收悉。根据北京市规划</w:t>
      </w:r>
      <w:r>
        <w:rPr>
          <w:rFonts w:hint="eastAsia" w:ascii="仿宋_GB2312" w:hAnsi="仿宋_GB2312" w:eastAsia="仿宋_GB2312" w:cs="仿宋_GB2312"/>
          <w:sz w:val="32"/>
          <w:szCs w:val="32"/>
          <w:lang w:eastAsia="zh-CN"/>
        </w:rPr>
        <w:t>和自然资源委员会</w:t>
      </w:r>
      <w:r>
        <w:rPr>
          <w:rFonts w:hint="eastAsia" w:ascii="仿宋_GB2312" w:hAnsi="仿宋_GB2312" w:eastAsia="仿宋_GB2312" w:cs="仿宋_GB2312"/>
          <w:sz w:val="32"/>
          <w:szCs w:val="32"/>
        </w:rPr>
        <w:t>通州分局</w:t>
      </w:r>
      <w:r>
        <w:rPr>
          <w:rFonts w:hint="eastAsia" w:ascii="仿宋_GB2312" w:hAnsi="仿宋_GB2312" w:eastAsia="仿宋_GB2312" w:cs="仿宋_GB2312"/>
          <w:sz w:val="32"/>
          <w:szCs w:val="32"/>
          <w:lang w:eastAsia="zh-CN"/>
        </w:rPr>
        <w:t>《关于小盐</w:t>
      </w:r>
      <w:bookmarkStart w:id="5" w:name="_GoBack"/>
      <w:bookmarkEnd w:id="5"/>
      <w:r>
        <w:rPr>
          <w:rFonts w:hint="eastAsia" w:ascii="仿宋_GB2312" w:hAnsi="仿宋_GB2312" w:eastAsia="仿宋_GB2312" w:cs="仿宋_GB2312"/>
          <w:sz w:val="32"/>
          <w:szCs w:val="32"/>
          <w:lang w:eastAsia="zh-CN"/>
        </w:rPr>
        <w:t>河西路（张凤路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渔场南街）道路工程市政交通基础设施“多规合一”协同意见的函》</w:t>
      </w:r>
      <w:r>
        <w:rPr>
          <w:rFonts w:hint="eastAsia" w:ascii="仿宋_GB2312" w:hAnsi="仿宋_GB2312" w:eastAsia="仿宋_GB2312" w:cs="仿宋_GB2312"/>
          <w:sz w:val="32"/>
          <w:szCs w:val="32"/>
        </w:rPr>
        <w:t>（京规自基础策划[通]函〔202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0058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、《建设项目用地预审与选址意见书》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规自[通]预选市政字</w:t>
      </w:r>
      <w:r>
        <w:rPr>
          <w:rFonts w:hint="eastAsia" w:ascii="仿宋_GB2312" w:hAnsi="仿宋_GB2312" w:eastAsia="仿宋_GB2312" w:cs="仿宋_GB2312"/>
          <w:sz w:val="32"/>
          <w:szCs w:val="32"/>
          <w:lang w:val="en-US" w:eastAsia="zh-CN"/>
        </w:rPr>
        <w:t>0054</w:t>
      </w:r>
      <w:r>
        <w:rPr>
          <w:rFonts w:hint="eastAsia" w:ascii="仿宋_GB2312" w:hAnsi="仿宋_GB2312" w:eastAsia="仿宋_GB2312" w:cs="仿宋_GB2312"/>
          <w:sz w:val="32"/>
          <w:szCs w:val="32"/>
        </w:rPr>
        <w:t>号）等相关文件，</w:t>
      </w:r>
      <w:r>
        <w:rPr>
          <w:rFonts w:hint="eastAsia" w:ascii="仿宋_GB2312" w:hAnsi="仿宋_GB2312" w:eastAsia="仿宋_GB2312" w:cs="仿宋_GB2312"/>
          <w:sz w:val="32"/>
          <w:szCs w:val="32"/>
          <w:lang w:eastAsia="zh-CN"/>
        </w:rPr>
        <w:t>经研究，原则同意你单位建设</w:t>
      </w:r>
      <w:r>
        <w:rPr>
          <w:rFonts w:hint="eastAsia" w:ascii="仿宋_GB2312" w:hAnsi="仿宋_GB2312" w:eastAsia="仿宋_GB2312" w:cs="仿宋_GB2312"/>
          <w:sz w:val="32"/>
          <w:szCs w:val="32"/>
        </w:rPr>
        <w:t>小盐河西路（张凤路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渔场南街）</w:t>
      </w:r>
      <w:r>
        <w:rPr>
          <w:rFonts w:hint="eastAsia" w:ascii="仿宋_GB2312" w:hAnsi="仿宋_GB2312" w:eastAsia="仿宋_GB2312" w:cs="仿宋_GB2312"/>
          <w:sz w:val="32"/>
          <w:szCs w:val="32"/>
          <w:lang w:eastAsia="zh-CN"/>
        </w:rPr>
        <w:t>道路工程。</w:t>
      </w:r>
      <w:r>
        <w:rPr>
          <w:rFonts w:hint="eastAsia" w:ascii="仿宋_GB2312" w:hAnsi="仿宋_GB2312" w:eastAsia="仿宋_GB2312" w:cs="仿宋_GB2312"/>
          <w:sz w:val="32"/>
          <w:szCs w:val="32"/>
        </w:rPr>
        <w:t>现就有关事项批复如下：</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一、建设地点：本项目位于通州区张家湾镇，</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lang w:val="en-US" w:eastAsia="zh-CN"/>
        </w:rPr>
        <w:t>张凤路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向东向南</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渔场南街</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建设内容及规模：</w:t>
      </w:r>
      <w:r>
        <w:rPr>
          <w:rFonts w:hint="eastAsia" w:ascii="仿宋_GB2312" w:hAnsi="仿宋_GB2312" w:eastAsia="仿宋_GB2312" w:cs="仿宋_GB2312"/>
          <w:sz w:val="32"/>
          <w:szCs w:val="32"/>
          <w:lang w:eastAsia="zh-CN"/>
        </w:rPr>
        <w:t>项目规划为城市支路，全长约</w:t>
      </w:r>
      <w:r>
        <w:rPr>
          <w:rFonts w:hint="eastAsia" w:ascii="仿宋_GB2312" w:hAnsi="仿宋_GB2312" w:eastAsia="仿宋_GB2312" w:cs="仿宋_GB2312"/>
          <w:sz w:val="32"/>
          <w:szCs w:val="32"/>
          <w:lang w:val="en-US" w:eastAsia="zh-CN"/>
        </w:rPr>
        <w:t>0.65公里</w:t>
      </w:r>
      <w:r>
        <w:rPr>
          <w:rFonts w:hint="eastAsia" w:ascii="仿宋_GB2312" w:hAnsi="仿宋_GB2312" w:eastAsia="仿宋_GB2312" w:cs="仿宋_GB2312"/>
          <w:sz w:val="32"/>
          <w:szCs w:val="32"/>
          <w:lang w:eastAsia="zh-CN"/>
        </w:rPr>
        <w:t>，红线宽</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米，设计车速</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公里/小时，</w:t>
      </w:r>
      <w:r>
        <w:rPr>
          <w:rFonts w:hint="eastAsia" w:ascii="仿宋_GB2312" w:hAnsi="仿宋_GB2312" w:eastAsia="仿宋_GB2312" w:cs="仿宋_GB2312"/>
          <w:sz w:val="32"/>
          <w:szCs w:val="32"/>
        </w:rPr>
        <w:t>建设内容包括道路、交通、绿化、照明、雨水、</w:t>
      </w:r>
      <w:r>
        <w:rPr>
          <w:rFonts w:hint="eastAsia" w:ascii="仿宋_GB2312" w:hAnsi="仿宋_GB2312" w:eastAsia="仿宋_GB2312" w:cs="仿宋_GB2312"/>
          <w:sz w:val="32"/>
          <w:szCs w:val="32"/>
          <w:lang w:eastAsia="zh-CN"/>
        </w:rPr>
        <w:t>污水、给水、</w:t>
      </w:r>
      <w:r>
        <w:rPr>
          <w:rFonts w:hint="eastAsia" w:ascii="仿宋_GB2312" w:hAnsi="仿宋_GB2312" w:eastAsia="仿宋_GB2312" w:cs="仿宋_GB2312"/>
          <w:sz w:val="32"/>
          <w:szCs w:val="32"/>
        </w:rPr>
        <w:t>再生水等工程。</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三、投资规模</w:t>
      </w:r>
      <w:r>
        <w:rPr>
          <w:rFonts w:hint="eastAsia" w:ascii="仿宋_GB2312" w:hAnsi="仿宋_GB2312" w:eastAsia="仿宋_GB2312" w:cs="仿宋_GB2312"/>
          <w:sz w:val="32"/>
          <w:szCs w:val="32"/>
        </w:rPr>
        <w:t>及资金来源：</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2300.66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，所需资金全部由</w:t>
      </w:r>
      <w:r>
        <w:rPr>
          <w:rFonts w:hint="eastAsia" w:ascii="仿宋_GB2312" w:eastAsia="仿宋_GB2312" w:cs="仿宋_GB2312"/>
          <w:sz w:val="32"/>
          <w:szCs w:val="32"/>
        </w:rPr>
        <w:t>北京通州房地产开发有限责任公司</w:t>
      </w:r>
      <w:r>
        <w:rPr>
          <w:rFonts w:hint="eastAsia" w:ascii="仿宋_GB2312" w:eastAsia="仿宋_GB2312" w:cs="仿宋_GB2312"/>
          <w:sz w:val="32"/>
          <w:szCs w:val="32"/>
          <w:lang w:eastAsia="zh-CN"/>
        </w:rPr>
        <w:t>筹措</w:t>
      </w:r>
      <w:r>
        <w:rPr>
          <w:rFonts w:hint="eastAsia" w:ascii="仿宋_GB2312" w:hAnsi="仿宋_GB2312" w:eastAsia="仿宋_GB2312" w:cs="仿宋_GB2312"/>
          <w:sz w:val="32"/>
          <w:szCs w:val="32"/>
          <w:lang w:eastAsia="zh-CN"/>
        </w:rPr>
        <w:t>解决。</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请你单位按照《关于进一步加强建筑废弃物资源化综合利用工作的意见》（京建法〔2018〕7号）、《关于调整建筑废弃物再生产品种类及应用工程部位的通知》（京建发〔2019〕148号），在工程建设中选用建筑废弃物再生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color w:val="auto"/>
          <w:kern w:val="2"/>
          <w:sz w:val="32"/>
          <w:szCs w:val="32"/>
          <w:highlight w:val="none"/>
          <w:lang w:val="en-US" w:eastAsia="zh-CN" w:bidi="ar-SA"/>
        </w:rPr>
        <w:t>项目单位应将到位的资金优先保障农民工工资支付。</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、本批复附《建设项目招标方案核准意见书》1份，请项目单位据此依法开展招投标工作。在建设项目实施过程中，确有特殊情况需要变更已核准招标方案的，应当报我委重新核准。</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、本批复有效期2年,请据此开展相关工作。如需延期开工建设的，应当在2年期限届满的30个工作日前，向我委提出延期申请。</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rPr>
          <w:rFonts w:ascii="文星仿宋" w:hAnsi="文星仿宋" w:eastAsia="文星仿宋" w:cs="文星仿宋"/>
          <w:b/>
          <w:bCs/>
          <w:color w:val="FF0000"/>
          <w:sz w:val="36"/>
          <w:szCs w:val="36"/>
        </w:rPr>
      </w:pPr>
      <w:r>
        <w:rPr>
          <w:rFonts w:hint="eastAsia" w:ascii="仿宋_GB2312" w:hAnsi="仿宋_GB2312" w:eastAsia="仿宋_GB2312" w:cs="仿宋_GB2312"/>
          <w:sz w:val="32"/>
          <w:szCs w:val="32"/>
        </w:rPr>
        <w:t>附件：建设项目招标方案核准意见书</w:t>
      </w:r>
      <w:r>
        <w:rPr>
          <w:rFonts w:ascii="文星仿宋" w:hAnsi="文星仿宋" w:eastAsia="文星仿宋" w:cs="文星仿宋"/>
          <w:b/>
          <w:bCs/>
          <w:color w:val="FF0000"/>
          <w:sz w:val="36"/>
          <w:szCs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97" w:firstLineChars="1343"/>
        <w:textAlignment w:val="auto"/>
        <w:rPr>
          <w:rFonts w:hint="eastAsia" w:ascii="仿宋_GB2312" w:hAnsi="文星仿宋"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297" w:firstLineChars="1343"/>
        <w:textAlignment w:val="auto"/>
        <w:rPr>
          <w:rFonts w:ascii="仿宋_GB2312" w:hAnsi="文星仿宋" w:eastAsia="仿宋_GB2312"/>
          <w:w w:val="93"/>
          <w:sz w:val="32"/>
          <w:szCs w:val="32"/>
        </w:rPr>
      </w:pPr>
      <w:r>
        <w:rPr>
          <w:rFonts w:hint="eastAsia" w:ascii="仿宋_GB2312" w:hAnsi="文星仿宋" w:eastAsia="仿宋_GB2312" w:cs="仿宋_GB2312"/>
          <w:w w:val="100"/>
          <w:sz w:val="32"/>
          <w:szCs w:val="32"/>
        </w:rPr>
        <w:t>北京市通州区</w:t>
      </w:r>
      <w:r>
        <w:rPr>
          <w:rFonts w:hint="eastAsia" w:ascii="仿宋_GB2312" w:hAnsi="文星仿宋" w:eastAsia="仿宋_GB2312" w:cs="仿宋_GB2312"/>
          <w:w w:val="100"/>
          <w:sz w:val="32"/>
          <w:szCs w:val="32"/>
          <w:lang w:eastAsia="zh-CN"/>
        </w:rPr>
        <w:t>发展和改革委员会</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文星仿宋" w:hAnsi="文星仿宋" w:eastAsia="文星仿宋"/>
          <w:color w:val="FF0000"/>
          <w:sz w:val="32"/>
          <w:szCs w:val="32"/>
        </w:rPr>
      </w:pPr>
      <w:r>
        <w:rPr>
          <w:rFonts w:ascii="仿宋_GB2312" w:hAnsi="文星仿宋" w:eastAsia="仿宋_GB2312" w:cs="仿宋_GB2312"/>
          <w:sz w:val="32"/>
          <w:szCs w:val="32"/>
        </w:rPr>
        <w:t xml:space="preserve">                             202</w:t>
      </w:r>
      <w:r>
        <w:rPr>
          <w:rFonts w:hint="eastAsia" w:ascii="仿宋_GB2312" w:hAnsi="文星仿宋" w:eastAsia="仿宋_GB2312" w:cs="仿宋_GB2312"/>
          <w:sz w:val="32"/>
          <w:szCs w:val="32"/>
          <w:lang w:val="en-US" w:eastAsia="zh-CN"/>
        </w:rPr>
        <w:t>6</w:t>
      </w:r>
      <w:r>
        <w:rPr>
          <w:rFonts w:hint="eastAsia" w:ascii="仿宋_GB2312" w:hAnsi="文星仿宋" w:eastAsia="仿宋_GB2312" w:cs="仿宋_GB2312"/>
          <w:sz w:val="32"/>
          <w:szCs w:val="32"/>
        </w:rPr>
        <w:t>年</w:t>
      </w:r>
      <w:r>
        <w:rPr>
          <w:rFonts w:hint="eastAsia" w:ascii="仿宋_GB2312" w:hAnsi="文星仿宋" w:eastAsia="仿宋_GB2312" w:cs="仿宋_GB2312"/>
          <w:w w:val="93"/>
          <w:sz w:val="32"/>
          <w:szCs w:val="32"/>
          <w:lang w:val="en-US" w:eastAsia="zh-CN"/>
        </w:rPr>
        <w:t>1</w:t>
      </w:r>
      <w:r>
        <w:rPr>
          <w:rFonts w:hint="eastAsia" w:ascii="仿宋_GB2312" w:hAnsi="文星仿宋" w:eastAsia="仿宋_GB2312" w:cs="仿宋_GB2312"/>
          <w:sz w:val="32"/>
          <w:szCs w:val="32"/>
        </w:rPr>
        <w:t>月</w:t>
      </w:r>
      <w:r>
        <w:rPr>
          <w:rFonts w:hint="eastAsia" w:ascii="仿宋_GB2312" w:hAnsi="文星仿宋" w:eastAsia="仿宋_GB2312" w:cs="仿宋_GB2312"/>
          <w:sz w:val="32"/>
          <w:szCs w:val="32"/>
          <w:lang w:val="en-US" w:eastAsia="zh-CN"/>
        </w:rPr>
        <w:t>30</w:t>
      </w:r>
      <w:r>
        <w:rPr>
          <w:rFonts w:hint="eastAsia" w:ascii="仿宋_GB2312" w:hAnsi="文星仿宋" w:eastAsia="仿宋_GB2312" w:cs="仿宋_GB2312"/>
          <w:sz w:val="32"/>
          <w:szCs w:val="32"/>
        </w:rPr>
        <w:t>日</w:t>
      </w: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jc w:val="center"/>
        <w:rPr>
          <w:rFonts w:ascii="仿宋_GB2312"/>
        </w:rPr>
      </w:pPr>
      <w:r>
        <w:rPr>
          <w:rFonts w:hint="eastAsia" w:ascii="方正小标宋简体" w:hAnsi="黑体" w:eastAsia="方正小标宋简体" w:cs="宋体"/>
          <w:bCs/>
          <w:kern w:val="0"/>
          <w:sz w:val="44"/>
          <w:szCs w:val="44"/>
        </w:rPr>
        <w:t>建设项目招标方案核准意见书</w:t>
      </w:r>
      <w:r>
        <w:rPr>
          <w:rFonts w:hint="eastAsia" w:ascii="方正小标宋简体" w:hAnsi="黑体" w:eastAsia="方正小标宋简体"/>
          <w:vanish/>
          <w:sz w:val="44"/>
          <w:szCs w:val="44"/>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1"/>
          <w:szCs w:val="21"/>
        </w:rPr>
      </w:pPr>
      <w:r>
        <w:rPr>
          <w:rFonts w:hint="eastAsia" w:ascii="仿宋_GB2312" w:hAnsi="仿宋" w:eastAsia="仿宋_GB2312"/>
          <w:sz w:val="21"/>
          <w:szCs w:val="21"/>
        </w:rPr>
        <w:t>项目名称：</w:t>
      </w:r>
      <w:r>
        <w:rPr>
          <w:rFonts w:hint="eastAsia" w:ascii="仿宋_GB2312" w:hAnsi="仿宋" w:eastAsia="仿宋_GB2312"/>
          <w:sz w:val="21"/>
          <w:szCs w:val="21"/>
          <w:lang w:eastAsia="zh-CN"/>
        </w:rPr>
        <w:t>小盐河西路（张凤路</w:t>
      </w:r>
      <w:r>
        <w:rPr>
          <w:rFonts w:hint="eastAsia" w:ascii="仿宋_GB2312" w:hAnsi="仿宋" w:eastAsia="仿宋_GB2312"/>
          <w:sz w:val="21"/>
          <w:szCs w:val="21"/>
          <w:lang w:val="en-US" w:eastAsia="zh-CN"/>
        </w:rPr>
        <w:t>-</w:t>
      </w:r>
      <w:r>
        <w:rPr>
          <w:rFonts w:hint="eastAsia" w:ascii="仿宋_GB2312" w:hAnsi="仿宋" w:eastAsia="仿宋_GB2312"/>
          <w:sz w:val="21"/>
          <w:szCs w:val="21"/>
          <w:lang w:eastAsia="zh-CN"/>
        </w:rPr>
        <w:t>渔场南街）</w:t>
      </w:r>
      <w:r>
        <w:rPr>
          <w:rFonts w:hint="eastAsia" w:ascii="仿宋_GB2312" w:hAnsi="仿宋" w:eastAsia="仿宋_GB2312"/>
          <w:sz w:val="21"/>
          <w:szCs w:val="21"/>
          <w:lang w:val="en-US" w:eastAsia="zh-CN"/>
        </w:rPr>
        <w:t>道路工程</w:t>
      </w:r>
      <w:r>
        <w:rPr>
          <w:rFonts w:hint="eastAsia" w:ascii="仿宋_GB2312" w:hAnsi="仿宋" w:eastAsia="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4"/>
          <w:szCs w:val="24"/>
        </w:rPr>
      </w:pPr>
      <w:r>
        <w:rPr>
          <w:rFonts w:hint="eastAsia" w:ascii="仿宋_GB2312" w:hAnsi="仿宋" w:eastAsia="仿宋_GB2312"/>
          <w:sz w:val="21"/>
          <w:szCs w:val="21"/>
        </w:rPr>
        <w:t>项目建设单位名称：北京通州房地产开发有限责任公司</w:t>
      </w:r>
    </w:p>
    <w:tbl>
      <w:tblPr>
        <w:tblStyle w:val="1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25"/>
        <w:gridCol w:w="1311"/>
        <w:gridCol w:w="1495"/>
        <w:gridCol w:w="1549"/>
        <w:gridCol w:w="112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86" w:type="dxa"/>
            <w:vAlign w:val="center"/>
          </w:tcPr>
          <w:p>
            <w:pPr>
              <w:spacing w:line="300" w:lineRule="exact"/>
              <w:jc w:val="center"/>
              <w:rPr>
                <w:rFonts w:ascii="仿宋_GB2312" w:hAnsi="黑体" w:eastAsia="仿宋_GB2312" w:cs="黑体"/>
                <w:kern w:val="0"/>
                <w:szCs w:val="21"/>
              </w:rPr>
            </w:pPr>
            <w:bookmarkStart w:id="2" w:name="book_bid_tab"/>
          </w:p>
        </w:tc>
        <w:tc>
          <w:tcPr>
            <w:tcW w:w="1125"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采购细项</w:t>
            </w:r>
          </w:p>
        </w:tc>
        <w:tc>
          <w:tcPr>
            <w:tcW w:w="1311"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单项合同</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估算金额</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（万元）</w:t>
            </w:r>
          </w:p>
        </w:tc>
        <w:tc>
          <w:tcPr>
            <w:tcW w:w="1495"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招标方式</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（公开招标或邀请招标）</w:t>
            </w:r>
          </w:p>
        </w:tc>
        <w:tc>
          <w:tcPr>
            <w:tcW w:w="1549"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招标组织形式</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（自行招标或委托招标）</w:t>
            </w:r>
          </w:p>
        </w:tc>
        <w:tc>
          <w:tcPr>
            <w:tcW w:w="112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不采用招标形式</w:t>
            </w:r>
          </w:p>
        </w:tc>
        <w:tc>
          <w:tcPr>
            <w:tcW w:w="129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86" w:type="dxa"/>
            <w:vAlign w:val="center"/>
          </w:tcPr>
          <w:p>
            <w:pPr>
              <w:spacing w:line="300" w:lineRule="exact"/>
              <w:jc w:val="center"/>
              <w:rPr>
                <w:rFonts w:ascii="仿宋_GB2312" w:hAnsi="黑体" w:eastAsia="仿宋_GB2312" w:cs="黑体"/>
                <w:kern w:val="0"/>
                <w:szCs w:val="21"/>
              </w:rPr>
            </w:pPr>
            <w:bookmarkStart w:id="3" w:name="OLE_LINK3" w:colFirst="2" w:colLast="2"/>
            <w:r>
              <w:rPr>
                <w:rFonts w:hint="eastAsia" w:ascii="仿宋_GB2312" w:hAnsi="黑体" w:eastAsia="仿宋_GB2312" w:cs="黑体"/>
                <w:kern w:val="0"/>
                <w:szCs w:val="21"/>
              </w:rPr>
              <w:t>勘察</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工程勘察</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21.66</w:t>
            </w:r>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r>
              <w:rPr>
                <w:rFonts w:hint="eastAsia"/>
              </w:rPr>
              <w:t>√</w:t>
            </w:r>
          </w:p>
        </w:tc>
        <w:tc>
          <w:tcPr>
            <w:tcW w:w="129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设计</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工程设计</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72.19</w:t>
            </w:r>
          </w:p>
        </w:tc>
        <w:tc>
          <w:tcPr>
            <w:tcW w:w="1495"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施工</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工程施工</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1951.33</w:t>
            </w:r>
          </w:p>
        </w:tc>
        <w:tc>
          <w:tcPr>
            <w:tcW w:w="1495"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lang w:eastAsia="zh-CN"/>
              </w:rPr>
              <w:t>公开招标</w:t>
            </w:r>
          </w:p>
        </w:tc>
        <w:tc>
          <w:tcPr>
            <w:tcW w:w="1549" w:type="dxa"/>
            <w:vAlign w:val="center"/>
          </w:tcPr>
          <w:p>
            <w:pPr>
              <w:spacing w:line="300" w:lineRule="exact"/>
              <w:jc w:val="center"/>
              <w:rPr>
                <w:rFonts w:hint="eastAsia" w:ascii="仿宋_GB2312" w:hAnsi="黑体" w:eastAsia="仿宋_GB2312" w:cs="黑体"/>
                <w:kern w:val="0"/>
                <w:szCs w:val="21"/>
                <w:lang w:eastAsia="zh-CN"/>
              </w:rPr>
            </w:pPr>
            <w:r>
              <w:rPr>
                <w:rFonts w:hint="eastAsia" w:ascii="仿宋_GB2312" w:hAnsi="黑体" w:eastAsia="仿宋_GB2312" w:cs="黑体"/>
                <w:kern w:val="0"/>
                <w:szCs w:val="21"/>
              </w:rPr>
              <w:t>委托招标</w:t>
            </w: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监理</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工程监理</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52.93</w:t>
            </w:r>
          </w:p>
        </w:tc>
        <w:tc>
          <w:tcPr>
            <w:tcW w:w="1495"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Cs w:val="21"/>
              </w:rPr>
              <w:t>未达到招标金额</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86" w:type="dxa"/>
            <w:vAlign w:val="center"/>
          </w:tcPr>
          <w:p>
            <w:pPr>
              <w:spacing w:line="300" w:lineRule="exact"/>
              <w:jc w:val="center"/>
              <w:rPr>
                <w:rFonts w:hint="eastAsia" w:ascii="仿宋_GB2312" w:hAnsi="黑体" w:eastAsia="仿宋_GB2312" w:cs="黑体"/>
                <w:kern w:val="0"/>
                <w:szCs w:val="21"/>
                <w:lang w:eastAsia="zh-CN"/>
              </w:rPr>
            </w:pPr>
            <w:r>
              <w:rPr>
                <w:rFonts w:hint="eastAsia" w:ascii="仿宋_GB2312" w:hAnsi="黑体" w:eastAsia="仿宋_GB2312" w:cs="黑体"/>
                <w:kern w:val="0"/>
                <w:szCs w:val="21"/>
                <w:lang w:eastAsia="zh-CN"/>
              </w:rPr>
              <w:t>设备</w:t>
            </w:r>
          </w:p>
        </w:tc>
        <w:tc>
          <w:tcPr>
            <w:tcW w:w="1125" w:type="dxa"/>
            <w:vAlign w:val="center"/>
          </w:tcPr>
          <w:p>
            <w:pPr>
              <w:spacing w:line="300" w:lineRule="exact"/>
              <w:jc w:val="center"/>
              <w:rPr>
                <w:rFonts w:hint="eastAsia" w:ascii="仿宋_GB2312" w:hAnsi="黑体" w:eastAsia="仿宋_GB2312" w:cs="黑体"/>
                <w:kern w:val="0"/>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Cs w:val="21"/>
              </w:rPr>
            </w:pPr>
          </w:p>
        </w:tc>
        <w:tc>
          <w:tcPr>
            <w:tcW w:w="1549" w:type="dxa"/>
            <w:vAlign w:val="center"/>
          </w:tcPr>
          <w:p>
            <w:pPr>
              <w:spacing w:line="300" w:lineRule="exact"/>
              <w:jc w:val="center"/>
              <w:rPr>
                <w:rFonts w:hint="eastAsia"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p>
        </w:tc>
        <w:tc>
          <w:tcPr>
            <w:tcW w:w="1294" w:type="dxa"/>
            <w:vAlign w:val="center"/>
          </w:tcPr>
          <w:p>
            <w:pPr>
              <w:spacing w:line="300" w:lineRule="exact"/>
              <w:jc w:val="center"/>
              <w:rPr>
                <w:rFonts w:hint="eastAsia" w:ascii="仿宋_GB2312" w:hAnsi="黑体" w:eastAsia="仿宋_GB2312" w:cs="黑体"/>
                <w:kern w:val="0"/>
                <w:szCs w:val="21"/>
                <w:lang w:eastAsia="zh-CN"/>
              </w:rPr>
            </w:pPr>
            <w:bookmarkStart w:id="4" w:name="OLE_LINK4"/>
            <w:r>
              <w:rPr>
                <w:rFonts w:hint="eastAsia" w:ascii="仿宋_GB2312" w:hAnsi="黑体" w:eastAsia="仿宋_GB2312" w:cs="黑体"/>
                <w:kern w:val="0"/>
                <w:szCs w:val="21"/>
                <w:lang w:eastAsia="zh-CN"/>
              </w:rPr>
              <w:t>含在施工中</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6" w:type="dxa"/>
            <w:vAlign w:val="center"/>
          </w:tcPr>
          <w:p>
            <w:pPr>
              <w:spacing w:line="300" w:lineRule="exact"/>
              <w:jc w:val="center"/>
              <w:rPr>
                <w:rFonts w:hint="eastAsia" w:ascii="仿宋_GB2312" w:hAnsi="黑体" w:eastAsia="仿宋_GB2312" w:cs="黑体"/>
                <w:kern w:val="0"/>
                <w:szCs w:val="21"/>
                <w:lang w:eastAsia="zh-CN"/>
              </w:rPr>
            </w:pPr>
            <w:r>
              <w:rPr>
                <w:rFonts w:hint="eastAsia" w:ascii="仿宋_GB2312" w:hAnsi="黑体" w:eastAsia="仿宋_GB2312" w:cs="黑体"/>
                <w:kern w:val="0"/>
                <w:szCs w:val="21"/>
                <w:lang w:eastAsia="zh-CN"/>
              </w:rPr>
              <w:t>重要材料</w:t>
            </w:r>
          </w:p>
        </w:tc>
        <w:tc>
          <w:tcPr>
            <w:tcW w:w="1125" w:type="dxa"/>
            <w:vAlign w:val="center"/>
          </w:tcPr>
          <w:p>
            <w:pPr>
              <w:spacing w:line="300" w:lineRule="exact"/>
              <w:jc w:val="center"/>
              <w:rPr>
                <w:rFonts w:hint="eastAsia" w:ascii="仿宋_GB2312" w:hAnsi="黑体" w:eastAsia="仿宋_GB2312" w:cs="黑体"/>
                <w:kern w:val="0"/>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Cs w:val="21"/>
              </w:rPr>
            </w:pPr>
          </w:p>
        </w:tc>
        <w:tc>
          <w:tcPr>
            <w:tcW w:w="1549" w:type="dxa"/>
            <w:vAlign w:val="center"/>
          </w:tcPr>
          <w:p>
            <w:pPr>
              <w:spacing w:line="300" w:lineRule="exact"/>
              <w:jc w:val="center"/>
              <w:rPr>
                <w:rFonts w:hint="eastAsia"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p>
        </w:tc>
        <w:tc>
          <w:tcPr>
            <w:tcW w:w="129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lang w:eastAsia="zh-CN"/>
              </w:rPr>
              <w:t>含在施工中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其他</w:t>
            </w:r>
          </w:p>
        </w:tc>
        <w:tc>
          <w:tcPr>
            <w:tcW w:w="1125" w:type="dxa"/>
            <w:vAlign w:val="center"/>
          </w:tcPr>
          <w:p>
            <w:pPr>
              <w:spacing w:line="300" w:lineRule="exact"/>
              <w:jc w:val="center"/>
              <w:rPr>
                <w:rFonts w:ascii="仿宋_GB2312" w:hAnsi="黑体" w:eastAsia="仿宋_GB2312" w:cs="黑体"/>
                <w:kern w:val="0"/>
                <w:szCs w:val="21"/>
              </w:rPr>
            </w:pPr>
          </w:p>
        </w:tc>
        <w:tc>
          <w:tcPr>
            <w:tcW w:w="1311" w:type="dxa"/>
            <w:vAlign w:val="center"/>
          </w:tcPr>
          <w:p>
            <w:pPr>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202.55</w:t>
            </w:r>
          </w:p>
        </w:tc>
        <w:tc>
          <w:tcPr>
            <w:tcW w:w="1495" w:type="dxa"/>
            <w:vAlign w:val="center"/>
          </w:tcPr>
          <w:p>
            <w:pPr>
              <w:spacing w:line="300" w:lineRule="exact"/>
              <w:jc w:val="center"/>
              <w:rPr>
                <w:rFonts w:ascii="仿宋_GB2312" w:hAnsi="黑体" w:eastAsia="仿宋_GB2312" w:cs="黑体"/>
                <w:kern w:val="0"/>
                <w:szCs w:val="21"/>
              </w:rPr>
            </w:pPr>
          </w:p>
        </w:tc>
        <w:tc>
          <w:tcPr>
            <w:tcW w:w="1549" w:type="dxa"/>
            <w:vAlign w:val="center"/>
          </w:tcPr>
          <w:p>
            <w:pPr>
              <w:spacing w:line="300" w:lineRule="exact"/>
              <w:jc w:val="center"/>
              <w:rPr>
                <w:rFonts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p>
        </w:tc>
        <w:tc>
          <w:tcPr>
            <w:tcW w:w="1294" w:type="dxa"/>
            <w:vAlign w:val="center"/>
          </w:tcPr>
          <w:p>
            <w:pPr>
              <w:spacing w:line="300" w:lineRule="exact"/>
              <w:jc w:val="center"/>
              <w:rPr>
                <w:rFonts w:ascii="仿宋_GB2312" w:hAnsi="黑体" w:eastAsia="仿宋_GB2312"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84" w:type="dxa"/>
            <w:gridSpan w:val="7"/>
          </w:tcPr>
          <w:p>
            <w:pPr>
              <w:spacing w:line="300" w:lineRule="exact"/>
              <w:rPr>
                <w:rFonts w:hint="eastAsia" w:ascii="仿宋_GB2312" w:hAnsi="黑体" w:eastAsia="仿宋_GB2312" w:cs="黑体"/>
                <w:kern w:val="0"/>
                <w:szCs w:val="21"/>
                <w:lang w:eastAsia="zh-CN"/>
              </w:rPr>
            </w:pPr>
            <w:r>
              <w:rPr>
                <w:rFonts w:hint="eastAsia" w:ascii="仿宋_GB2312" w:hAnsi="黑体" w:eastAsia="仿宋_GB2312" w:cs="黑体"/>
                <w:kern w:val="0"/>
                <w:szCs w:val="21"/>
              </w:rPr>
              <w:t>核准意见说明：无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84" w:type="dxa"/>
            <w:gridSpan w:val="7"/>
            <w:tcBorders>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
                <w:kern w:val="0"/>
                <w:szCs w:val="21"/>
              </w:rPr>
            </w:pPr>
            <w:r>
              <w:rPr>
                <w:rFonts w:hint="eastAsia" w:ascii="仿宋_GB2312" w:hAnsi="仿宋_GB2312" w:eastAsia="仿宋_GB2312" w:cs="仿宋_GB2312"/>
                <w:b/>
                <w:kern w:val="0"/>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cs="仿宋_GB2312"/>
                <w:kern w:val="0"/>
                <w:szCs w:val="21"/>
              </w:rPr>
              <w:t xml:space="preserve">    1</w:t>
            </w:r>
            <w:r>
              <w:rPr>
                <w:rFonts w:hint="eastAsia" w:ascii="仿宋_GB2312" w:hAnsi="仿宋_GB2312" w:eastAsia="仿宋_GB2312" w:cs="仿宋_GB2312"/>
                <w:kern w:val="0"/>
                <w:szCs w:val="21"/>
              </w:rPr>
              <w:t xml:space="preserve">、根据《招标公告和公示信息发布管理办法》（国家发展改革委令第10号），依法必须招标项目的招标公告和公示信息应当在北京市公共资源交易服务平台、中国招标投标公共服务平台上发布。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2、政府投资项目，项目单位应当将资格预审公告、招标公告、中标候选人公示、中标结果公示等信息在北京市公共资源交易服务平台（ggzyfw.beijing.gov.cn）上全过程公开。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 xml:space="preserve">    3、招标方案核准意见在本项目实施全过程有效。在项目实施过程中，如确有特殊情况需要变更已经核准的招标方案的，应当报我委重新核准。</w:t>
            </w:r>
          </w:p>
        </w:tc>
      </w:tr>
      <w:bookmarkEnd w:id="2"/>
    </w:tbl>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420" w:rightChars="200" w:firstLine="0" w:firstLineChars="0"/>
        <w:textAlignment w:val="auto"/>
        <w:rPr>
          <w:rFonts w:hint="eastAsia"/>
          <w:lang w:val="en-US" w:eastAsia="zh-CN"/>
        </w:rPr>
      </w:pPr>
    </w:p>
    <w:sectPr>
      <w:footerReference r:id="rId4" w:type="default"/>
      <w:headerReference r:id="rId3" w:type="even"/>
      <w:footerReference r:id="rId5" w:type="even"/>
      <w:pgSz w:w="11906" w:h="16838"/>
      <w:pgMar w:top="1701" w:right="1474" w:bottom="1701" w:left="1588" w:header="851" w:footer="1304" w:gutter="0"/>
      <w:pgNumType w:fmt="decimal"/>
      <w:cols w:space="425"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Arial Unicode MS"/>
    <w:panose1 w:val="02010604000101010101"/>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70"/>
      <w:rPr>
        <w:rFonts w:ascii="宋体"/>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evenAndOddHeaders w:val="1"/>
  <w:drawingGridHorizontalSpacing w:val="21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013"/>
    <w:rsid w:val="0000667A"/>
    <w:rsid w:val="00010673"/>
    <w:rsid w:val="00014725"/>
    <w:rsid w:val="00014F13"/>
    <w:rsid w:val="000353CD"/>
    <w:rsid w:val="0007565F"/>
    <w:rsid w:val="000A127E"/>
    <w:rsid w:val="000A17BF"/>
    <w:rsid w:val="000D5DF8"/>
    <w:rsid w:val="001105BE"/>
    <w:rsid w:val="00131206"/>
    <w:rsid w:val="00131CB5"/>
    <w:rsid w:val="00145DD3"/>
    <w:rsid w:val="001772A7"/>
    <w:rsid w:val="001812CA"/>
    <w:rsid w:val="00186038"/>
    <w:rsid w:val="00191B2D"/>
    <w:rsid w:val="001B77A9"/>
    <w:rsid w:val="001C62B3"/>
    <w:rsid w:val="0020323B"/>
    <w:rsid w:val="00211E68"/>
    <w:rsid w:val="00214713"/>
    <w:rsid w:val="00236C82"/>
    <w:rsid w:val="00244981"/>
    <w:rsid w:val="002614DF"/>
    <w:rsid w:val="002704EA"/>
    <w:rsid w:val="00273E5E"/>
    <w:rsid w:val="00280C3B"/>
    <w:rsid w:val="00297A36"/>
    <w:rsid w:val="002A1386"/>
    <w:rsid w:val="002B62DE"/>
    <w:rsid w:val="002B7019"/>
    <w:rsid w:val="002C1013"/>
    <w:rsid w:val="002D7B20"/>
    <w:rsid w:val="002E1CCE"/>
    <w:rsid w:val="00304484"/>
    <w:rsid w:val="003115E7"/>
    <w:rsid w:val="003177EF"/>
    <w:rsid w:val="00326C17"/>
    <w:rsid w:val="00351489"/>
    <w:rsid w:val="003753E1"/>
    <w:rsid w:val="0037728D"/>
    <w:rsid w:val="00396C59"/>
    <w:rsid w:val="003A0052"/>
    <w:rsid w:val="003A77A6"/>
    <w:rsid w:val="003B2066"/>
    <w:rsid w:val="003D06F1"/>
    <w:rsid w:val="003F4399"/>
    <w:rsid w:val="004053F1"/>
    <w:rsid w:val="0041557E"/>
    <w:rsid w:val="00424AE5"/>
    <w:rsid w:val="00432541"/>
    <w:rsid w:val="004504BD"/>
    <w:rsid w:val="0048390F"/>
    <w:rsid w:val="00494250"/>
    <w:rsid w:val="004A0916"/>
    <w:rsid w:val="004D45DB"/>
    <w:rsid w:val="004E093E"/>
    <w:rsid w:val="004E44BE"/>
    <w:rsid w:val="004E636A"/>
    <w:rsid w:val="004E7CFC"/>
    <w:rsid w:val="004F2261"/>
    <w:rsid w:val="004F51F6"/>
    <w:rsid w:val="004F6879"/>
    <w:rsid w:val="00500E5A"/>
    <w:rsid w:val="00507F10"/>
    <w:rsid w:val="00540DDA"/>
    <w:rsid w:val="00570460"/>
    <w:rsid w:val="00573E76"/>
    <w:rsid w:val="00595F57"/>
    <w:rsid w:val="005A7B10"/>
    <w:rsid w:val="005B7909"/>
    <w:rsid w:val="005E1B21"/>
    <w:rsid w:val="006031AA"/>
    <w:rsid w:val="006115A3"/>
    <w:rsid w:val="00611B25"/>
    <w:rsid w:val="00615889"/>
    <w:rsid w:val="00620D95"/>
    <w:rsid w:val="00664A53"/>
    <w:rsid w:val="00677BC9"/>
    <w:rsid w:val="006911A1"/>
    <w:rsid w:val="006A2719"/>
    <w:rsid w:val="006E75EF"/>
    <w:rsid w:val="00706987"/>
    <w:rsid w:val="00717D7C"/>
    <w:rsid w:val="00725935"/>
    <w:rsid w:val="007371B1"/>
    <w:rsid w:val="007431F4"/>
    <w:rsid w:val="00751180"/>
    <w:rsid w:val="007626CC"/>
    <w:rsid w:val="007824AD"/>
    <w:rsid w:val="007B2F45"/>
    <w:rsid w:val="007D6001"/>
    <w:rsid w:val="007F1C23"/>
    <w:rsid w:val="007F4D41"/>
    <w:rsid w:val="00800F10"/>
    <w:rsid w:val="00801903"/>
    <w:rsid w:val="00810CC6"/>
    <w:rsid w:val="00822257"/>
    <w:rsid w:val="00830D78"/>
    <w:rsid w:val="00831C06"/>
    <w:rsid w:val="00842714"/>
    <w:rsid w:val="00861CFB"/>
    <w:rsid w:val="008B1897"/>
    <w:rsid w:val="008C69B1"/>
    <w:rsid w:val="008D3345"/>
    <w:rsid w:val="008F0FC7"/>
    <w:rsid w:val="008F511C"/>
    <w:rsid w:val="00904653"/>
    <w:rsid w:val="009235F3"/>
    <w:rsid w:val="00925DE1"/>
    <w:rsid w:val="00954EF1"/>
    <w:rsid w:val="00967101"/>
    <w:rsid w:val="00970B47"/>
    <w:rsid w:val="00994A02"/>
    <w:rsid w:val="009A0551"/>
    <w:rsid w:val="009A62DC"/>
    <w:rsid w:val="009D6C34"/>
    <w:rsid w:val="009E5BB4"/>
    <w:rsid w:val="009F06F4"/>
    <w:rsid w:val="00A018DE"/>
    <w:rsid w:val="00A063F7"/>
    <w:rsid w:val="00A12746"/>
    <w:rsid w:val="00A3546D"/>
    <w:rsid w:val="00A43788"/>
    <w:rsid w:val="00A56013"/>
    <w:rsid w:val="00A94C0F"/>
    <w:rsid w:val="00A9626D"/>
    <w:rsid w:val="00AB0B40"/>
    <w:rsid w:val="00AC7875"/>
    <w:rsid w:val="00B16B5B"/>
    <w:rsid w:val="00B361C6"/>
    <w:rsid w:val="00B66722"/>
    <w:rsid w:val="00B75929"/>
    <w:rsid w:val="00B75CBC"/>
    <w:rsid w:val="00B91845"/>
    <w:rsid w:val="00B92DC4"/>
    <w:rsid w:val="00BA2158"/>
    <w:rsid w:val="00BC6563"/>
    <w:rsid w:val="00BD35FB"/>
    <w:rsid w:val="00BE6181"/>
    <w:rsid w:val="00BF2CC5"/>
    <w:rsid w:val="00BF3396"/>
    <w:rsid w:val="00C000C3"/>
    <w:rsid w:val="00C06BB8"/>
    <w:rsid w:val="00C571A7"/>
    <w:rsid w:val="00C71099"/>
    <w:rsid w:val="00C7153C"/>
    <w:rsid w:val="00C904B1"/>
    <w:rsid w:val="00C955D6"/>
    <w:rsid w:val="00CA0B4F"/>
    <w:rsid w:val="00CB082F"/>
    <w:rsid w:val="00CD70C5"/>
    <w:rsid w:val="00CE1764"/>
    <w:rsid w:val="00CF0043"/>
    <w:rsid w:val="00CF00D3"/>
    <w:rsid w:val="00D1642A"/>
    <w:rsid w:val="00D32404"/>
    <w:rsid w:val="00D55E18"/>
    <w:rsid w:val="00D72CE8"/>
    <w:rsid w:val="00D75347"/>
    <w:rsid w:val="00D75CAD"/>
    <w:rsid w:val="00DA44E8"/>
    <w:rsid w:val="00DB1F64"/>
    <w:rsid w:val="00DC0EB8"/>
    <w:rsid w:val="00DC431A"/>
    <w:rsid w:val="00DD36B5"/>
    <w:rsid w:val="00DF00C3"/>
    <w:rsid w:val="00DF79BB"/>
    <w:rsid w:val="00E12D3B"/>
    <w:rsid w:val="00E1757C"/>
    <w:rsid w:val="00E17B9D"/>
    <w:rsid w:val="00E26648"/>
    <w:rsid w:val="00E328DE"/>
    <w:rsid w:val="00E91C32"/>
    <w:rsid w:val="00EA1102"/>
    <w:rsid w:val="00EF4772"/>
    <w:rsid w:val="00EF77A7"/>
    <w:rsid w:val="00F20AD9"/>
    <w:rsid w:val="00F324FF"/>
    <w:rsid w:val="00F70440"/>
    <w:rsid w:val="00F761E4"/>
    <w:rsid w:val="00F842C8"/>
    <w:rsid w:val="00F85F6B"/>
    <w:rsid w:val="00FA05A5"/>
    <w:rsid w:val="00FD081B"/>
    <w:rsid w:val="00FD5910"/>
    <w:rsid w:val="00FE206C"/>
    <w:rsid w:val="034507E9"/>
    <w:rsid w:val="081D7A54"/>
    <w:rsid w:val="08AA3A82"/>
    <w:rsid w:val="09B824A0"/>
    <w:rsid w:val="0C51061C"/>
    <w:rsid w:val="107D30EF"/>
    <w:rsid w:val="10DB0321"/>
    <w:rsid w:val="12754131"/>
    <w:rsid w:val="13D85EB2"/>
    <w:rsid w:val="1E1475FD"/>
    <w:rsid w:val="1FDF4450"/>
    <w:rsid w:val="23265C15"/>
    <w:rsid w:val="2C525072"/>
    <w:rsid w:val="36F95A78"/>
    <w:rsid w:val="38772A18"/>
    <w:rsid w:val="394164F2"/>
    <w:rsid w:val="3AED2C43"/>
    <w:rsid w:val="3B77FB9B"/>
    <w:rsid w:val="3FD56A4E"/>
    <w:rsid w:val="41405FE2"/>
    <w:rsid w:val="46075765"/>
    <w:rsid w:val="4DC91086"/>
    <w:rsid w:val="4E1A6488"/>
    <w:rsid w:val="50F30EB2"/>
    <w:rsid w:val="51592281"/>
    <w:rsid w:val="550120B8"/>
    <w:rsid w:val="57671B35"/>
    <w:rsid w:val="5B2F4869"/>
    <w:rsid w:val="5FC64084"/>
    <w:rsid w:val="6674308F"/>
    <w:rsid w:val="68970CA0"/>
    <w:rsid w:val="6A36456D"/>
    <w:rsid w:val="729B651D"/>
    <w:rsid w:val="77CF16A2"/>
    <w:rsid w:val="77DC39FB"/>
    <w:rsid w:val="79F7C3B7"/>
    <w:rsid w:val="7D241C70"/>
    <w:rsid w:val="7FF6F744"/>
    <w:rsid w:val="B772A56A"/>
    <w:rsid w:val="BE5F56A9"/>
    <w:rsid w:val="D7F715DC"/>
    <w:rsid w:val="ED75D518"/>
    <w:rsid w:val="F7C76AA7"/>
    <w:rsid w:val="FDEE2FE9"/>
    <w:rsid w:val="FFAF3D24"/>
    <w:rsid w:val="FFDD98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link w:val="15"/>
    <w:semiHidden/>
    <w:qFormat/>
    <w:locked/>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1"/>
    </w:rPr>
  </w:style>
  <w:style w:type="paragraph" w:styleId="3">
    <w:name w:val="annotation text"/>
    <w:basedOn w:val="1"/>
    <w:link w:val="22"/>
    <w:semiHidden/>
    <w:qFormat/>
    <w:uiPriority w:val="99"/>
    <w:pPr>
      <w:jc w:val="left"/>
    </w:pPr>
  </w:style>
  <w:style w:type="paragraph" w:styleId="4">
    <w:name w:val="Body Text"/>
    <w:basedOn w:val="1"/>
    <w:next w:val="5"/>
    <w:link w:val="20"/>
    <w:qFormat/>
    <w:uiPriority w:val="99"/>
    <w:rPr>
      <w:rFonts w:ascii="文星标宋" w:hAnsi="文星标宋" w:eastAsia="文星标宋" w:cs="文星标宋"/>
      <w:color w:val="FF0000"/>
      <w:spacing w:val="30"/>
      <w:sz w:val="72"/>
      <w:szCs w:val="72"/>
    </w:rPr>
  </w:style>
  <w:style w:type="paragraph" w:styleId="5">
    <w:name w:val="Body Text 2"/>
    <w:basedOn w:val="1"/>
    <w:link w:val="23"/>
    <w:qFormat/>
    <w:uiPriority w:val="99"/>
    <w:rPr>
      <w:color w:val="0000FF"/>
      <w:sz w:val="18"/>
      <w:szCs w:val="18"/>
    </w:rPr>
  </w:style>
  <w:style w:type="paragraph" w:styleId="6">
    <w:name w:val="Body Text Indent"/>
    <w:basedOn w:val="1"/>
    <w:link w:val="18"/>
    <w:qFormat/>
    <w:uiPriority w:val="99"/>
    <w:pPr>
      <w:spacing w:line="600" w:lineRule="exact"/>
      <w:ind w:firstLine="600" w:firstLineChars="200"/>
    </w:pPr>
    <w:rPr>
      <w:rFonts w:ascii="华文仿宋" w:hAnsi="华文仿宋" w:eastAsia="华文仿宋" w:cs="华文仿宋"/>
      <w:sz w:val="30"/>
      <w:szCs w:val="30"/>
    </w:rPr>
  </w:style>
  <w:style w:type="paragraph" w:styleId="7">
    <w:name w:val="Date"/>
    <w:basedOn w:val="1"/>
    <w:next w:val="1"/>
    <w:link w:val="19"/>
    <w:qFormat/>
    <w:uiPriority w:val="99"/>
    <w:pPr>
      <w:ind w:left="100" w:leftChars="2500"/>
    </w:pPr>
    <w:rPr>
      <w:rFonts w:ascii="仿宋_GB2312" w:hAnsi="华文仿宋" w:eastAsia="仿宋_GB2312" w:cs="仿宋_GB2312"/>
      <w:sz w:val="32"/>
      <w:szCs w:val="32"/>
    </w:rPr>
  </w:style>
  <w:style w:type="paragraph" w:styleId="8">
    <w:name w:val="Body Text Indent 2"/>
    <w:basedOn w:val="1"/>
    <w:link w:val="21"/>
    <w:qFormat/>
    <w:uiPriority w:val="99"/>
    <w:pPr>
      <w:ind w:firstLine="660"/>
    </w:pPr>
    <w:rPr>
      <w:rFonts w:ascii="文星仿宋" w:hAnsi="文星仿宋" w:eastAsia="文星仿宋" w:cs="文星仿宋"/>
      <w:sz w:val="32"/>
      <w:szCs w:val="32"/>
    </w:rPr>
  </w:style>
  <w:style w:type="paragraph" w:styleId="9">
    <w:name w:val="Balloon Text"/>
    <w:basedOn w:val="1"/>
    <w:link w:val="26"/>
    <w:semiHidden/>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next w:val="1"/>
    <w:qFormat/>
    <w:uiPriority w:val="0"/>
    <w:pPr>
      <w:widowControl/>
      <w:overflowPunct w:val="0"/>
      <w:autoSpaceDE w:val="0"/>
      <w:autoSpaceDN w:val="0"/>
      <w:adjustRightInd w:val="0"/>
      <w:ind w:firstLine="420" w:firstLineChars="100"/>
      <w:jc w:val="left"/>
      <w:textAlignment w:val="baseline"/>
    </w:pPr>
    <w:rPr>
      <w:rFonts w:ascii="仿宋体" w:eastAsia="仿宋体"/>
    </w:rPr>
  </w:style>
  <w:style w:type="paragraph" w:customStyle="1" w:styleId="15">
    <w:name w:val="Char Char Char Char"/>
    <w:basedOn w:val="1"/>
    <w:link w:val="14"/>
    <w:qFormat/>
    <w:uiPriority w:val="99"/>
    <w:pPr>
      <w:spacing w:line="360" w:lineRule="auto"/>
      <w:ind w:firstLine="480" w:firstLineChars="200"/>
    </w:pPr>
  </w:style>
  <w:style w:type="character" w:styleId="16">
    <w:name w:val="page number"/>
    <w:basedOn w:val="14"/>
    <w:qFormat/>
    <w:uiPriority w:val="99"/>
  </w:style>
  <w:style w:type="character" w:styleId="17">
    <w:name w:val="annotation reference"/>
    <w:basedOn w:val="14"/>
    <w:semiHidden/>
    <w:qFormat/>
    <w:uiPriority w:val="99"/>
    <w:rPr>
      <w:sz w:val="21"/>
      <w:szCs w:val="21"/>
    </w:rPr>
  </w:style>
  <w:style w:type="character" w:customStyle="1" w:styleId="18">
    <w:name w:val="Body Text Indent Char"/>
    <w:basedOn w:val="14"/>
    <w:link w:val="6"/>
    <w:semiHidden/>
    <w:qFormat/>
    <w:locked/>
    <w:uiPriority w:val="99"/>
    <w:rPr>
      <w:sz w:val="21"/>
      <w:szCs w:val="21"/>
    </w:rPr>
  </w:style>
  <w:style w:type="character" w:customStyle="1" w:styleId="19">
    <w:name w:val="Date Char"/>
    <w:basedOn w:val="14"/>
    <w:link w:val="7"/>
    <w:semiHidden/>
    <w:qFormat/>
    <w:locked/>
    <w:uiPriority w:val="99"/>
    <w:rPr>
      <w:sz w:val="21"/>
      <w:szCs w:val="21"/>
    </w:rPr>
  </w:style>
  <w:style w:type="character" w:customStyle="1" w:styleId="20">
    <w:name w:val="Body Text Char"/>
    <w:basedOn w:val="14"/>
    <w:link w:val="4"/>
    <w:semiHidden/>
    <w:qFormat/>
    <w:locked/>
    <w:uiPriority w:val="99"/>
    <w:rPr>
      <w:sz w:val="21"/>
      <w:szCs w:val="21"/>
    </w:rPr>
  </w:style>
  <w:style w:type="character" w:customStyle="1" w:styleId="21">
    <w:name w:val="Body Text Indent 2 Char"/>
    <w:basedOn w:val="14"/>
    <w:link w:val="8"/>
    <w:semiHidden/>
    <w:qFormat/>
    <w:locked/>
    <w:uiPriority w:val="99"/>
    <w:rPr>
      <w:sz w:val="21"/>
      <w:szCs w:val="21"/>
    </w:rPr>
  </w:style>
  <w:style w:type="character" w:customStyle="1" w:styleId="22">
    <w:name w:val="Comment Text Char"/>
    <w:basedOn w:val="14"/>
    <w:link w:val="3"/>
    <w:semiHidden/>
    <w:qFormat/>
    <w:locked/>
    <w:uiPriority w:val="99"/>
    <w:rPr>
      <w:sz w:val="21"/>
      <w:szCs w:val="21"/>
    </w:rPr>
  </w:style>
  <w:style w:type="character" w:customStyle="1" w:styleId="23">
    <w:name w:val="Body Text 2 Char"/>
    <w:basedOn w:val="14"/>
    <w:link w:val="5"/>
    <w:semiHidden/>
    <w:qFormat/>
    <w:locked/>
    <w:uiPriority w:val="99"/>
    <w:rPr>
      <w:sz w:val="21"/>
      <w:szCs w:val="21"/>
    </w:rPr>
  </w:style>
  <w:style w:type="character" w:customStyle="1" w:styleId="24">
    <w:name w:val="Footer Char"/>
    <w:basedOn w:val="14"/>
    <w:link w:val="10"/>
    <w:qFormat/>
    <w:locked/>
    <w:uiPriority w:val="99"/>
    <w:rPr>
      <w:kern w:val="2"/>
      <w:sz w:val="18"/>
      <w:szCs w:val="18"/>
    </w:rPr>
  </w:style>
  <w:style w:type="character" w:customStyle="1" w:styleId="25">
    <w:name w:val="Header Char"/>
    <w:basedOn w:val="14"/>
    <w:link w:val="11"/>
    <w:semiHidden/>
    <w:qFormat/>
    <w:locked/>
    <w:uiPriority w:val="99"/>
    <w:rPr>
      <w:sz w:val="18"/>
      <w:szCs w:val="18"/>
    </w:rPr>
  </w:style>
  <w:style w:type="character" w:customStyle="1" w:styleId="26">
    <w:name w:val="Balloon Text Char"/>
    <w:basedOn w:val="14"/>
    <w:link w:val="9"/>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BJ</Company>
  <Pages>4</Pages>
  <Words>1285</Words>
  <Characters>1386</Characters>
  <Lines>0</Lines>
  <Paragraphs>0</Paragraphs>
  <TotalTime>0</TotalTime>
  <ScaleCrop>false</ScaleCrop>
  <LinksUpToDate>false</LinksUpToDate>
  <CharactersWithSpaces>1440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2020-08-28T10:49:00Z</dcterms:created>
  <dc:creator>BJGOV</dc:creator>
  <cp:lastModifiedBy>Administrator</cp:lastModifiedBy>
  <cp:lastPrinted>2026-01-29T03:45:00Z</cp:lastPrinted>
  <dcterms:modified xsi:type="dcterms:W3CDTF">2026-02-05T06:46:33Z</dcterms:modified>
  <dc:title>北京市人民政府办公厅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